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93E4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5124514B" w14:textId="77777777" w:rsidR="00D10F25" w:rsidRPr="00D10F25" w:rsidRDefault="00D10F25">
      <w:pPr>
        <w:rPr>
          <w:rFonts w:ascii="Times New Roman" w:hAnsi="Times New Roman" w:cs="Times New Roman"/>
        </w:rPr>
      </w:pPr>
    </w:p>
    <w:p w14:paraId="794F7E50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79ADBB9E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1903A6A5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3C1CC05D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Bellori, G.P. (1976)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Le Vite de pittori, scultori e architetti moderni</w:t>
      </w:r>
      <w:r w:rsidRPr="00D10F25">
        <w:rPr>
          <w:rFonts w:ascii="Times New Roman" w:hAnsi="Times New Roman" w:cs="Times New Roman"/>
          <w:sz w:val="24"/>
          <w:szCs w:val="24"/>
        </w:rPr>
        <w:t xml:space="preserve">, a cura di E. Borea,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Prefazione</w:t>
      </w:r>
      <w:r w:rsidRPr="00D10F25">
        <w:rPr>
          <w:rFonts w:ascii="Times New Roman" w:hAnsi="Times New Roman" w:cs="Times New Roman"/>
          <w:sz w:val="24"/>
          <w:szCs w:val="24"/>
        </w:rPr>
        <w:t xml:space="preserve"> di G. Previtali, Torino Einaudi.</w:t>
      </w:r>
    </w:p>
    <w:p w14:paraId="360C8102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Bellori, G.P. (2009)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Le Vite de pittori, scultori e architetti moderni</w:t>
      </w:r>
      <w:r w:rsidRPr="00D10F25">
        <w:rPr>
          <w:rFonts w:ascii="Times New Roman" w:hAnsi="Times New Roman" w:cs="Times New Roman"/>
          <w:sz w:val="24"/>
          <w:szCs w:val="24"/>
        </w:rPr>
        <w:t xml:space="preserve">, a cura di E. Borea,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Prefazione</w:t>
      </w:r>
      <w:r w:rsidRPr="00D10F25">
        <w:rPr>
          <w:rFonts w:ascii="Times New Roman" w:hAnsi="Times New Roman" w:cs="Times New Roman"/>
          <w:sz w:val="24"/>
          <w:szCs w:val="24"/>
        </w:rPr>
        <w:t xml:space="preserve"> di G. Previtali,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Postfazione</w:t>
      </w:r>
      <w:r w:rsidRPr="00D10F25">
        <w:rPr>
          <w:rFonts w:ascii="Times New Roman" w:hAnsi="Times New Roman" w:cs="Times New Roman"/>
          <w:sz w:val="24"/>
          <w:szCs w:val="24"/>
        </w:rPr>
        <w:t xml:space="preserve"> di T. Montanari, Torino Einaudi.</w:t>
      </w:r>
    </w:p>
    <w:p w14:paraId="18BDFFAC" w14:textId="77777777" w:rsidR="00D10F25" w:rsidRPr="00D10F25" w:rsidRDefault="00D10F25" w:rsidP="008137EA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 E., (1970a), a cura di,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Caravaggio e i caravaggeschi nelle Gallerie di Firenze</w:t>
      </w:r>
      <w:r w:rsidRPr="00D10F25">
        <w:rPr>
          <w:rFonts w:ascii="Times New Roman" w:hAnsi="Times New Roman" w:cs="Times New Roman"/>
          <w:sz w:val="24"/>
          <w:szCs w:val="24"/>
        </w:rPr>
        <w:t>, catalogo della mostra Firenze (Palazzo Pitti 1970), Firenze Sansoni</w:t>
      </w:r>
      <w:r w:rsidRPr="00D10F25">
        <w:rPr>
          <w:rFonts w:ascii="Times New Roman" w:hAnsi="Times New Roman" w:cs="Times New Roman"/>
          <w:sz w:val="24"/>
          <w:szCs w:val="24"/>
        </w:rPr>
        <w:t>.</w:t>
      </w:r>
    </w:p>
    <w:p w14:paraId="4C062A12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 E., (1982) in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Immagine del museo negli anni ’80</w:t>
      </w:r>
      <w:r w:rsidRPr="00D10F25">
        <w:rPr>
          <w:rFonts w:ascii="Times New Roman" w:hAnsi="Times New Roman" w:cs="Times New Roman"/>
          <w:sz w:val="24"/>
          <w:szCs w:val="24"/>
        </w:rPr>
        <w:t>, Convegno del 1981, in «Bollettino d’arte», supplemento, 1, 1982, pp. 27-39.</w:t>
      </w:r>
    </w:p>
    <w:p w14:paraId="2388E469" w14:textId="77777777" w:rsidR="00D10F25" w:rsidRPr="00D10F25" w:rsidRDefault="00D10F25" w:rsidP="009F4658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 E., (2000a) a cura di,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L’Idea del bello. Viaggio per Roma nel Seicento con Giovan Pietro Bellori</w:t>
      </w:r>
      <w:r w:rsidRPr="00D10F25">
        <w:rPr>
          <w:rFonts w:ascii="Times New Roman" w:hAnsi="Times New Roman" w:cs="Times New Roman"/>
          <w:sz w:val="24"/>
          <w:szCs w:val="24"/>
        </w:rPr>
        <w:t>, catalogo della mostra Roma (Palazzo delle Esposizioni, 29 marzo-26 giugno 2000), Roma De Luca</w:t>
      </w:r>
      <w:r w:rsidRPr="00D10F25">
        <w:rPr>
          <w:rFonts w:ascii="Times New Roman" w:hAnsi="Times New Roman" w:cs="Times New Roman"/>
          <w:sz w:val="24"/>
          <w:szCs w:val="24"/>
        </w:rPr>
        <w:t>.</w:t>
      </w:r>
    </w:p>
    <w:p w14:paraId="55AF4AE3" w14:textId="77777777" w:rsidR="00D10F25" w:rsidRPr="00D10F25" w:rsidRDefault="00D10F25" w:rsidP="00421355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Borea, E.  (1979) </w:t>
      </w:r>
      <w:r w:rsidRPr="00D10F25">
        <w:rPr>
          <w:rFonts w:ascii="Times New Roman" w:eastAsia="Times New Roman" w:hAnsi="Times New Roman" w:cs="Times New Roman"/>
          <w:i/>
          <w:iCs/>
          <w:color w:val="201F1F"/>
          <w:sz w:val="24"/>
          <w:szCs w:val="24"/>
          <w:shd w:val="clear" w:color="auto" w:fill="FFFFFF"/>
          <w:lang w:eastAsia="it-IT"/>
        </w:rPr>
        <w:t>Stampa figurativa e pubblico dalle origini all’affermazione nel Cinquecento</w:t>
      </w:r>
      <w:r w:rsidRPr="00D10F25">
        <w:rPr>
          <w:rFonts w:ascii="Times New Roman" w:eastAsia="Times New Roman" w:hAnsi="Times New Roman" w:cs="Times New Roman"/>
          <w:color w:val="201F1F"/>
          <w:sz w:val="24"/>
          <w:szCs w:val="24"/>
          <w:shd w:val="clear" w:color="auto" w:fill="FFFFFF"/>
          <w:lang w:eastAsia="it-IT"/>
        </w:rPr>
        <w:t xml:space="preserve">, in </w:t>
      </w:r>
      <w:r w:rsidRPr="00D10F25">
        <w:rPr>
          <w:rFonts w:ascii="Times New Roman" w:eastAsia="Times New Roman" w:hAnsi="Times New Roman" w:cs="Times New Roman"/>
          <w:i/>
          <w:iCs/>
          <w:color w:val="201F1F"/>
          <w:sz w:val="24"/>
          <w:szCs w:val="24"/>
          <w:shd w:val="clear" w:color="auto" w:fill="FFFFFF"/>
          <w:lang w:eastAsia="it-IT"/>
        </w:rPr>
        <w:t>Storia dell’arte italiana</w:t>
      </w:r>
      <w:r w:rsidRPr="00D10F25">
        <w:rPr>
          <w:rFonts w:ascii="Times New Roman" w:eastAsia="Times New Roman" w:hAnsi="Times New Roman" w:cs="Times New Roman"/>
          <w:color w:val="201F1F"/>
          <w:sz w:val="24"/>
          <w:szCs w:val="24"/>
          <w:shd w:val="clear" w:color="auto" w:fill="FFFFFF"/>
          <w:lang w:eastAsia="it-IT"/>
        </w:rPr>
        <w:t xml:space="preserve">, parte prima, </w:t>
      </w:r>
      <w:r w:rsidRPr="00D10F25">
        <w:rPr>
          <w:rFonts w:ascii="Times New Roman" w:eastAsia="Times New Roman" w:hAnsi="Times New Roman" w:cs="Times New Roman"/>
          <w:i/>
          <w:iCs/>
          <w:color w:val="201F1F"/>
          <w:sz w:val="24"/>
          <w:szCs w:val="24"/>
          <w:shd w:val="clear" w:color="auto" w:fill="FFFFFF"/>
          <w:lang w:eastAsia="it-IT"/>
        </w:rPr>
        <w:t>materiali e problemi</w:t>
      </w:r>
      <w:r w:rsidRPr="00D10F25">
        <w:rPr>
          <w:rFonts w:ascii="Times New Roman" w:eastAsia="Times New Roman" w:hAnsi="Times New Roman" w:cs="Times New Roman"/>
          <w:color w:val="201F1F"/>
          <w:sz w:val="24"/>
          <w:szCs w:val="24"/>
          <w:shd w:val="clear" w:color="auto" w:fill="FFFFFF"/>
          <w:lang w:eastAsia="it-IT"/>
        </w:rPr>
        <w:t xml:space="preserve">, vol. II, </w:t>
      </w:r>
      <w:r w:rsidRPr="00D10F25">
        <w:rPr>
          <w:rFonts w:ascii="Times New Roman" w:eastAsia="Times New Roman" w:hAnsi="Times New Roman" w:cs="Times New Roman"/>
          <w:i/>
          <w:iCs/>
          <w:color w:val="201F1F"/>
          <w:sz w:val="24"/>
          <w:szCs w:val="24"/>
          <w:shd w:val="clear" w:color="auto" w:fill="FFFFFF"/>
          <w:lang w:eastAsia="it-IT"/>
        </w:rPr>
        <w:t>l’artista e il pubblico</w:t>
      </w:r>
      <w:r w:rsidRPr="00D10F25">
        <w:rPr>
          <w:rFonts w:ascii="Times New Roman" w:eastAsia="Times New Roman" w:hAnsi="Times New Roman" w:cs="Times New Roman"/>
          <w:color w:val="201F1F"/>
          <w:sz w:val="24"/>
          <w:szCs w:val="24"/>
          <w:shd w:val="clear" w:color="auto" w:fill="FFFFFF"/>
          <w:lang w:eastAsia="it-IT"/>
        </w:rPr>
        <w:t>, Torino 1979, pp. 317-413.</w:t>
      </w:r>
    </w:p>
    <w:p w14:paraId="40D8CFE4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Borea, E. (1965)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Domenichino</w:t>
      </w:r>
      <w:r w:rsidRPr="00D10F25">
        <w:rPr>
          <w:rFonts w:ascii="Times New Roman" w:hAnsi="Times New Roman" w:cs="Times New Roman"/>
          <w:sz w:val="24"/>
          <w:szCs w:val="24"/>
        </w:rPr>
        <w:t>, Milano, Edizioni per il Club del Libro.</w:t>
      </w:r>
    </w:p>
    <w:p w14:paraId="58AC271B" w14:textId="77777777" w:rsidR="00D10F25" w:rsidRPr="00D10F25" w:rsidRDefault="00D10F25" w:rsidP="008137EA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Borea, E. (1970b)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Introduzione</w:t>
      </w:r>
      <w:r w:rsidRPr="00D10F25">
        <w:rPr>
          <w:rFonts w:ascii="Times New Roman" w:hAnsi="Times New Roman" w:cs="Times New Roman"/>
          <w:sz w:val="24"/>
          <w:szCs w:val="24"/>
        </w:rPr>
        <w:t xml:space="preserve"> in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Caravaggio e i caravaggeschi nelle Gallerie di Firenze</w:t>
      </w:r>
      <w:r w:rsidRPr="00D10F25">
        <w:rPr>
          <w:rFonts w:ascii="Times New Roman" w:hAnsi="Times New Roman" w:cs="Times New Roman"/>
          <w:sz w:val="24"/>
          <w:szCs w:val="24"/>
        </w:rPr>
        <w:t>, catalogo della mostra Firenze (Palazzo Pitti 1970), a cura di E. Borea, Firenze Sansoni, pp. III-X.</w:t>
      </w:r>
    </w:p>
    <w:p w14:paraId="5F65295F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Borea, E., (1963),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Due momenti del Domenichino paesista. Le “mitologie” di Palazzo Farnese e della Villa Aldobrandini</w:t>
      </w:r>
      <w:r w:rsidRPr="00D10F25">
        <w:rPr>
          <w:rFonts w:ascii="Times New Roman" w:hAnsi="Times New Roman" w:cs="Times New Roman"/>
          <w:sz w:val="24"/>
          <w:szCs w:val="24"/>
        </w:rPr>
        <w:t xml:space="preserve">, in «Paragone. Arte», </w:t>
      </w:r>
      <w:proofErr w:type="spellStart"/>
      <w:r w:rsidRPr="00D10F25">
        <w:rPr>
          <w:rFonts w:ascii="Times New Roman" w:hAnsi="Times New Roman" w:cs="Times New Roman"/>
          <w:sz w:val="24"/>
          <w:szCs w:val="24"/>
        </w:rPr>
        <w:t>n.s.</w:t>
      </w:r>
      <w:proofErr w:type="spellEnd"/>
      <w:r w:rsidRPr="00D10F25">
        <w:rPr>
          <w:rFonts w:ascii="Times New Roman" w:hAnsi="Times New Roman" w:cs="Times New Roman"/>
          <w:sz w:val="24"/>
          <w:szCs w:val="24"/>
        </w:rPr>
        <w:t xml:space="preserve"> XIV, 167, pp, 22-34.</w:t>
      </w:r>
    </w:p>
    <w:p w14:paraId="46F1174D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Borea, E., (1993a)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Le stampe dai primitivi e l'avvento della storiografia artistica illustrata. I</w:t>
      </w:r>
      <w:r w:rsidRPr="00D10F25">
        <w:rPr>
          <w:rFonts w:ascii="Times New Roman" w:hAnsi="Times New Roman" w:cs="Times New Roman"/>
          <w:sz w:val="24"/>
          <w:szCs w:val="24"/>
        </w:rPr>
        <w:t>, in «Prospettiva», 69,  pp. 68-40.</w:t>
      </w:r>
    </w:p>
    <w:p w14:paraId="2A17AD21" w14:textId="77777777" w:rsidR="00D10F25" w:rsidRPr="00D10F25" w:rsidRDefault="00D10F25" w:rsidP="009F4658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>Borea, E., (1993b) Le stampe dai primitivi e l'avvento della storiografia artistica illustrata. II, in «Prospettiva», 70,  pp. 50-74.</w:t>
      </w:r>
    </w:p>
    <w:p w14:paraId="6959A1C1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Borea, E., (2000)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Bellori e la documentazione figurativa fra l’antico il moderno e il contemporaneo</w:t>
      </w:r>
      <w:r w:rsidRPr="00D10F25">
        <w:rPr>
          <w:rFonts w:ascii="Times New Roman" w:hAnsi="Times New Roman" w:cs="Times New Roman"/>
          <w:sz w:val="24"/>
          <w:szCs w:val="24"/>
        </w:rPr>
        <w:t xml:space="preserve">, in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L’Idea del bello. Viaggio per Roma nel Seicento con Giovan Pietro Bellori</w:t>
      </w:r>
      <w:r w:rsidRPr="00D10F25">
        <w:rPr>
          <w:rFonts w:ascii="Times New Roman" w:hAnsi="Times New Roman" w:cs="Times New Roman"/>
          <w:sz w:val="24"/>
          <w:szCs w:val="24"/>
        </w:rPr>
        <w:t>, catalogo della mostra Roma (Palazzo delle Esposizioni, 29 marzo-26 giugno 2000), Roma De Luca, pp. 141-152.</w:t>
      </w:r>
    </w:p>
    <w:p w14:paraId="2E9F4FFE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i/>
          <w:iCs/>
          <w:sz w:val="24"/>
          <w:szCs w:val="24"/>
        </w:rPr>
        <w:t>Caravaggio e i caravaggeschi nelle Gallerie di Firenze</w:t>
      </w:r>
      <w:r w:rsidRPr="00D10F25">
        <w:rPr>
          <w:rFonts w:ascii="Times New Roman" w:hAnsi="Times New Roman" w:cs="Times New Roman"/>
          <w:sz w:val="24"/>
          <w:szCs w:val="24"/>
        </w:rPr>
        <w:t>, catalogo della mostra Firenze (Palazzo Pitti 1970), a cura di E. Borea, Firenze 1970.</w:t>
      </w:r>
    </w:p>
    <w:p w14:paraId="30CC85D0" w14:textId="77777777" w:rsidR="00D10F25" w:rsidRPr="00D10F25" w:rsidRDefault="00D10F25" w:rsidP="000A0E07">
      <w:pPr>
        <w:pStyle w:val="Testonotaapidipagina"/>
        <w:rPr>
          <w:sz w:val="24"/>
          <w:szCs w:val="24"/>
        </w:rPr>
      </w:pPr>
      <w:r w:rsidRPr="00D10F25">
        <w:rPr>
          <w:sz w:val="24"/>
          <w:szCs w:val="24"/>
        </w:rPr>
        <w:t xml:space="preserve">Di Carpegna, N., (1955) a cura di, </w:t>
      </w:r>
      <w:r w:rsidRPr="00D10F25">
        <w:rPr>
          <w:i/>
          <w:iCs/>
          <w:sz w:val="24"/>
          <w:szCs w:val="24"/>
        </w:rPr>
        <w:t>Caravaggio e i caravaggeschi: seconda esposizione temporanea delle pitture seicentesche e settecentesche della Galleria Nazionale</w:t>
      </w:r>
      <w:r w:rsidRPr="00D10F25">
        <w:rPr>
          <w:sz w:val="24"/>
          <w:szCs w:val="24"/>
        </w:rPr>
        <w:t>, catalogo della mostra (Roma, Gallerie Nazionali d’Arte antica, Palazzo Barberini, aprile -maggio 1955, a cura di N. Di Carpegna, Roma.</w:t>
      </w:r>
    </w:p>
    <w:p w14:paraId="31363B6E" w14:textId="77777777" w:rsidR="00D10F25" w:rsidRPr="00D10F25" w:rsidRDefault="00D10F25" w:rsidP="008137EA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E. Borea, (1975b)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Introduzione</w:t>
      </w:r>
      <w:r w:rsidRPr="00D10F25">
        <w:rPr>
          <w:rFonts w:ascii="Times New Roman" w:hAnsi="Times New Roman" w:cs="Times New Roman"/>
          <w:sz w:val="24"/>
          <w:szCs w:val="24"/>
        </w:rPr>
        <w:t xml:space="preserve">, in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Pittori bolognesi del Seicento nelle Gallerie di Firenze</w:t>
      </w:r>
      <w:r w:rsidRPr="00D10F25">
        <w:rPr>
          <w:rFonts w:ascii="Times New Roman" w:hAnsi="Times New Roman" w:cs="Times New Roman"/>
          <w:sz w:val="24"/>
          <w:szCs w:val="24"/>
        </w:rPr>
        <w:t>, catalogo della mostra, Firenze (Galleria degli Uffizi, febbraio-aprile 1975) a cura di E. Borea, Firenze Sansoni 1975, pp. XIII-XXIII.</w:t>
      </w:r>
    </w:p>
    <w:p w14:paraId="0892ADA7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Ferretti, M., (2019)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Da Guido Reni a Guercino: le mostre bolognesi dal 1954 al 1968</w:t>
      </w:r>
      <w:r w:rsidRPr="00D10F25">
        <w:rPr>
          <w:rFonts w:ascii="Times New Roman" w:hAnsi="Times New Roman" w:cs="Times New Roman"/>
          <w:sz w:val="24"/>
          <w:szCs w:val="24"/>
        </w:rPr>
        <w:t xml:space="preserve">, in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Fortuna del Barocco in Italia. Le grandi mostre del Novecento</w:t>
      </w:r>
      <w:r w:rsidRPr="00D10F25">
        <w:rPr>
          <w:rFonts w:ascii="Times New Roman" w:hAnsi="Times New Roman" w:cs="Times New Roman"/>
          <w:sz w:val="24"/>
          <w:szCs w:val="24"/>
        </w:rPr>
        <w:t xml:space="preserve">, a cura di M. DI Macco, G. Dardanello, Genova </w:t>
      </w:r>
      <w:proofErr w:type="spellStart"/>
      <w:r w:rsidRPr="00D10F25">
        <w:rPr>
          <w:rFonts w:ascii="Times New Roman" w:hAnsi="Times New Roman" w:cs="Times New Roman"/>
          <w:sz w:val="24"/>
          <w:szCs w:val="24"/>
        </w:rPr>
        <w:t>Sagep</w:t>
      </w:r>
      <w:proofErr w:type="spellEnd"/>
      <w:r w:rsidRPr="00D10F25">
        <w:rPr>
          <w:rFonts w:ascii="Times New Roman" w:hAnsi="Times New Roman" w:cs="Times New Roman"/>
          <w:sz w:val="24"/>
          <w:szCs w:val="24"/>
        </w:rPr>
        <w:t>, pp. 177-195.</w:t>
      </w:r>
    </w:p>
    <w:p w14:paraId="7E1C861A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Forlani Tempesta, A. (2014),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Evelina Borea studiosa di stampe</w:t>
      </w:r>
      <w:r w:rsidRPr="00D10F25">
        <w:rPr>
          <w:rFonts w:ascii="Times New Roman" w:hAnsi="Times New Roman" w:cs="Times New Roman"/>
          <w:sz w:val="24"/>
          <w:szCs w:val="24"/>
        </w:rPr>
        <w:t>, in «Commentari d’arte», XX, 58-59, pp. 118-120.</w:t>
      </w:r>
    </w:p>
    <w:p w14:paraId="27519A9E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proofErr w:type="spellStart"/>
      <w:r w:rsidRPr="00D10F25">
        <w:rPr>
          <w:rFonts w:ascii="Times New Roman" w:hAnsi="Times New Roman" w:cs="Times New Roman"/>
          <w:sz w:val="24"/>
          <w:szCs w:val="24"/>
        </w:rPr>
        <w:t>Galansino</w:t>
      </w:r>
      <w:proofErr w:type="spellEnd"/>
      <w:r w:rsidRPr="00D10F25">
        <w:rPr>
          <w:rFonts w:ascii="Times New Roman" w:hAnsi="Times New Roman" w:cs="Times New Roman"/>
          <w:sz w:val="24"/>
          <w:szCs w:val="24"/>
        </w:rPr>
        <w:t xml:space="preserve">, A.,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Giovanni Previtali, storico dell’arte militante</w:t>
      </w:r>
      <w:r w:rsidRPr="00D10F25">
        <w:rPr>
          <w:rFonts w:ascii="Times New Roman" w:hAnsi="Times New Roman" w:cs="Times New Roman"/>
          <w:sz w:val="24"/>
          <w:szCs w:val="24"/>
        </w:rPr>
        <w:t>, numero monografico «Prospettiva», 149-152, gennaio-ottobre 2013.</w:t>
      </w:r>
    </w:p>
    <w:p w14:paraId="00A56CF4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Ginzburg, S. (2021) </w:t>
      </w:r>
      <w:r w:rsidRPr="00D10F25">
        <w:rPr>
          <w:rFonts w:ascii="Times New Roman" w:hAnsi="Times New Roman" w:cs="Times New Roman"/>
          <w:i/>
          <w:sz w:val="24"/>
          <w:szCs w:val="24"/>
        </w:rPr>
        <w:t>L’ “Ideale classico”: una categoria critica del Novecento</w:t>
      </w:r>
      <w:r w:rsidRPr="00D10F25">
        <w:rPr>
          <w:rFonts w:ascii="Times New Roman" w:hAnsi="Times New Roman" w:cs="Times New Roman"/>
          <w:sz w:val="24"/>
          <w:szCs w:val="24"/>
        </w:rPr>
        <w:t xml:space="preserve">, in </w:t>
      </w:r>
      <w:r w:rsidRPr="00D10F25">
        <w:rPr>
          <w:rFonts w:ascii="Times New Roman" w:hAnsi="Times New Roman" w:cs="Times New Roman"/>
          <w:i/>
          <w:sz w:val="24"/>
          <w:szCs w:val="24"/>
        </w:rPr>
        <w:t>La tradizione dell’ “Ideale classico” nelle arti figurative dal Seicento al Novecento</w:t>
      </w:r>
      <w:r w:rsidRPr="00D10F25">
        <w:rPr>
          <w:rFonts w:ascii="Times New Roman" w:hAnsi="Times New Roman" w:cs="Times New Roman"/>
          <w:sz w:val="24"/>
          <w:szCs w:val="24"/>
        </w:rPr>
        <w:t xml:space="preserve">, a cura di M. Di Macco, S. </w:t>
      </w:r>
      <w:proofErr w:type="spellStart"/>
      <w:r w:rsidRPr="00D10F25">
        <w:rPr>
          <w:rFonts w:ascii="Times New Roman" w:hAnsi="Times New Roman" w:cs="Times New Roman"/>
          <w:sz w:val="24"/>
          <w:szCs w:val="24"/>
        </w:rPr>
        <w:t>Ginburg</w:t>
      </w:r>
      <w:proofErr w:type="spellEnd"/>
      <w:r w:rsidRPr="00D10F25">
        <w:rPr>
          <w:rFonts w:ascii="Times New Roman" w:hAnsi="Times New Roman" w:cs="Times New Roman"/>
          <w:sz w:val="24"/>
          <w:szCs w:val="24"/>
        </w:rPr>
        <w:t xml:space="preserve">, Genova </w:t>
      </w:r>
      <w:proofErr w:type="spellStart"/>
      <w:r w:rsidRPr="00D10F25">
        <w:rPr>
          <w:rFonts w:ascii="Times New Roman" w:hAnsi="Times New Roman" w:cs="Times New Roman"/>
          <w:sz w:val="24"/>
          <w:szCs w:val="24"/>
        </w:rPr>
        <w:t>Sagep</w:t>
      </w:r>
      <w:proofErr w:type="spellEnd"/>
      <w:r w:rsidRPr="00D10F25">
        <w:rPr>
          <w:rFonts w:ascii="Times New Roman" w:hAnsi="Times New Roman" w:cs="Times New Roman"/>
          <w:sz w:val="24"/>
          <w:szCs w:val="24"/>
        </w:rPr>
        <w:t>, pp. 1-16.</w:t>
      </w:r>
    </w:p>
    <w:p w14:paraId="6551800A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lastRenderedPageBreak/>
        <w:t xml:space="preserve">Haskell, F., (1966)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Mecenati e pittori. Studio sui rapporti tra arte e società italiana nell’età barocca</w:t>
      </w:r>
      <w:r w:rsidRPr="00D10F25">
        <w:rPr>
          <w:rFonts w:ascii="Times New Roman" w:hAnsi="Times New Roman" w:cs="Times New Roman"/>
          <w:sz w:val="24"/>
          <w:szCs w:val="24"/>
        </w:rPr>
        <w:t xml:space="preserve">, Firenze Sansoni. </w:t>
      </w:r>
    </w:p>
    <w:p w14:paraId="02A9F0B4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i/>
          <w:iCs/>
          <w:sz w:val="24"/>
          <w:szCs w:val="24"/>
        </w:rPr>
        <w:t>L’Idea del Bello</w:t>
      </w:r>
      <w:r w:rsidRPr="00D10F25">
        <w:rPr>
          <w:rFonts w:ascii="Times New Roman" w:hAnsi="Times New Roman" w:cs="Times New Roman"/>
          <w:sz w:val="24"/>
          <w:szCs w:val="24"/>
        </w:rPr>
        <w:t xml:space="preserve">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Viaggio per Roma nel Seicento con Giovan Pietro Bellori</w:t>
      </w:r>
      <w:r w:rsidRPr="00D10F25">
        <w:rPr>
          <w:rFonts w:ascii="Times New Roman" w:hAnsi="Times New Roman" w:cs="Times New Roman"/>
          <w:sz w:val="24"/>
          <w:szCs w:val="24"/>
        </w:rPr>
        <w:t>, catalogo della mostra Roma (Palazzo delle Esposizioni 29 marzo-26 giugno 2000), a cura di E. Borea, C. Gasparri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0F25">
        <w:rPr>
          <w:rFonts w:ascii="Times New Roman" w:hAnsi="Times New Roman" w:cs="Times New Roman"/>
          <w:sz w:val="24"/>
          <w:szCs w:val="24"/>
        </w:rPr>
        <w:t xml:space="preserve"> Roma De Luca.</w:t>
      </w:r>
    </w:p>
    <w:p w14:paraId="4C83EC00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Longhi, R., (1950)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Proposte per una critica d’arte (1950)</w:t>
      </w:r>
      <w:r w:rsidRPr="00D10F25">
        <w:rPr>
          <w:rFonts w:ascii="Times New Roman" w:hAnsi="Times New Roman" w:cs="Times New Roman"/>
          <w:sz w:val="24"/>
          <w:szCs w:val="24"/>
        </w:rPr>
        <w:t xml:space="preserve">, in R. Longhi,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Opere complete</w:t>
      </w:r>
      <w:r w:rsidRPr="00D10F25">
        <w:rPr>
          <w:rFonts w:ascii="Times New Roman" w:hAnsi="Times New Roman" w:cs="Times New Roman"/>
          <w:sz w:val="24"/>
          <w:szCs w:val="24"/>
        </w:rPr>
        <w:t xml:space="preserve"> vol. XIII,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Critica d’arte e buongoverno</w:t>
      </w:r>
      <w:r w:rsidRPr="00D10F25">
        <w:rPr>
          <w:rFonts w:ascii="Times New Roman" w:hAnsi="Times New Roman" w:cs="Times New Roman"/>
          <w:sz w:val="24"/>
          <w:szCs w:val="24"/>
        </w:rPr>
        <w:t>, Firenze 1985, pp. 9-20.</w:t>
      </w:r>
    </w:p>
    <w:p w14:paraId="7C01A832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Miarelli Mariani, I. (2021), </w:t>
      </w:r>
      <w:r w:rsidRPr="00D10F25">
        <w:rPr>
          <w:rFonts w:ascii="Times New Roman" w:hAnsi="Times New Roman" w:cs="Times New Roman"/>
          <w:i/>
          <w:sz w:val="24"/>
          <w:szCs w:val="24"/>
        </w:rPr>
        <w:t xml:space="preserve">La fortuna della scuola bolognese nell’incisione di traduzione tra Sette e Ottocento, </w:t>
      </w:r>
      <w:r w:rsidRPr="00D10F25">
        <w:rPr>
          <w:rFonts w:ascii="Times New Roman" w:hAnsi="Times New Roman" w:cs="Times New Roman"/>
          <w:sz w:val="24"/>
          <w:szCs w:val="24"/>
        </w:rPr>
        <w:t xml:space="preserve">in </w:t>
      </w:r>
      <w:r w:rsidRPr="00D10F25">
        <w:rPr>
          <w:rFonts w:ascii="Times New Roman" w:hAnsi="Times New Roman" w:cs="Times New Roman"/>
          <w:i/>
          <w:sz w:val="24"/>
          <w:szCs w:val="24"/>
        </w:rPr>
        <w:t>L’ “ideale classico”</w:t>
      </w:r>
      <w:r w:rsidRPr="00D10F25">
        <w:rPr>
          <w:rFonts w:ascii="Times New Roman" w:hAnsi="Times New Roman" w:cs="Times New Roman"/>
          <w:sz w:val="24"/>
          <w:szCs w:val="24"/>
        </w:rPr>
        <w:t>, a cura di S. Ginzburg, M. Di Macco (</w:t>
      </w:r>
      <w:hyperlink r:id="rId4" w:history="1">
        <w:r w:rsidRPr="00D10F25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Quaderni di Ricerca</w:t>
        </w:r>
      </w:hyperlink>
      <w:r w:rsidRPr="00D10F25">
        <w:rPr>
          <w:rFonts w:ascii="Times New Roman" w:hAnsi="Times New Roman" w:cs="Times New Roman"/>
          <w:bCs/>
          <w:color w:val="000000"/>
          <w:sz w:val="24"/>
          <w:szCs w:val="24"/>
        </w:rPr>
        <w:t> della Fondazione 1563 per l’Arte e la Cultura)</w:t>
      </w:r>
      <w:r w:rsidRPr="00D10F25">
        <w:rPr>
          <w:rFonts w:ascii="Times New Roman" w:hAnsi="Times New Roman" w:cs="Times New Roman"/>
          <w:sz w:val="24"/>
          <w:szCs w:val="24"/>
        </w:rPr>
        <w:t>, Genova 2021, pp. 210-223.</w:t>
      </w:r>
    </w:p>
    <w:p w14:paraId="669E8218" w14:textId="77777777" w:rsidR="00D10F25" w:rsidRPr="00D10F25" w:rsidRDefault="00D10F25" w:rsidP="00EF3A13">
      <w:pPr>
        <w:spacing w:line="360" w:lineRule="auto"/>
        <w:rPr>
          <w:rFonts w:ascii="Times New Roman" w:hAnsi="Times New Roman" w:cs="Times New Roman"/>
          <w:i/>
          <w:iCs/>
        </w:rPr>
      </w:pPr>
      <w:r w:rsidRPr="00D10F25">
        <w:rPr>
          <w:rFonts w:ascii="Times New Roman" w:hAnsi="Times New Roman" w:cs="Times New Roman"/>
        </w:rPr>
        <w:t xml:space="preserve">Miarelli Mariani, I., </w:t>
      </w:r>
      <w:r w:rsidRPr="00D10F25">
        <w:rPr>
          <w:rFonts w:ascii="Times New Roman" w:hAnsi="Times New Roman" w:cs="Times New Roman"/>
          <w:i/>
          <w:iCs/>
        </w:rPr>
        <w:t>Francesco Albani e i “</w:t>
      </w:r>
      <w:proofErr w:type="spellStart"/>
      <w:r w:rsidRPr="00D10F25">
        <w:rPr>
          <w:rFonts w:ascii="Times New Roman" w:hAnsi="Times New Roman" w:cs="Times New Roman"/>
          <w:i/>
          <w:iCs/>
        </w:rPr>
        <w:t>pitori</w:t>
      </w:r>
      <w:proofErr w:type="spellEnd"/>
      <w:r w:rsidRPr="00D10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10F25">
        <w:rPr>
          <w:rFonts w:ascii="Times New Roman" w:hAnsi="Times New Roman" w:cs="Times New Roman"/>
          <w:i/>
          <w:iCs/>
        </w:rPr>
        <w:t>Chlassici</w:t>
      </w:r>
      <w:proofErr w:type="spellEnd"/>
      <w:r w:rsidRPr="00D10F25">
        <w:rPr>
          <w:rFonts w:ascii="Times New Roman" w:hAnsi="Times New Roman" w:cs="Times New Roman"/>
          <w:i/>
          <w:iCs/>
        </w:rPr>
        <w:t xml:space="preserve"> di Roma”. Una lettera inedita del 28 dicembre 1658, </w:t>
      </w:r>
      <w:r w:rsidRPr="00D10F25">
        <w:rPr>
          <w:rFonts w:ascii="Times New Roman" w:hAnsi="Times New Roman" w:cs="Times New Roman"/>
        </w:rPr>
        <w:t>in corso di stampa.</w:t>
      </w:r>
    </w:p>
    <w:p w14:paraId="69F1BD57" w14:textId="77777777" w:rsidR="00D10F25" w:rsidRPr="00D10F25" w:rsidRDefault="00D10F25" w:rsidP="008137EA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i/>
          <w:iCs/>
          <w:sz w:val="24"/>
          <w:szCs w:val="24"/>
        </w:rPr>
        <w:t>Pittori bolognesi del Seicento nelle Gallerie di Firenze</w:t>
      </w:r>
      <w:r w:rsidRPr="00D10F25">
        <w:rPr>
          <w:rFonts w:ascii="Times New Roman" w:hAnsi="Times New Roman" w:cs="Times New Roman"/>
          <w:sz w:val="24"/>
          <w:szCs w:val="24"/>
        </w:rPr>
        <w:t>, catalogo della mostra, Firenze (Galleria degli Uffizi, febbraio-aprile 1975) a cura di E. Borea, Firenze Sansoni 1975.</w:t>
      </w:r>
    </w:p>
    <w:p w14:paraId="79F99EA6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Previtali, G., (1964)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“I Maestri del colore”. Nelle edicole i pittori di tutti i tempi</w:t>
      </w:r>
      <w:r w:rsidRPr="00D10F25">
        <w:rPr>
          <w:rFonts w:ascii="Times New Roman" w:hAnsi="Times New Roman" w:cs="Times New Roman"/>
          <w:sz w:val="24"/>
          <w:szCs w:val="24"/>
        </w:rPr>
        <w:t>, in «L’Unità», 10 maggio 1964.</w:t>
      </w:r>
    </w:p>
    <w:p w14:paraId="784843A8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10F25">
        <w:rPr>
          <w:rFonts w:ascii="Times New Roman" w:hAnsi="Times New Roman" w:cs="Times New Roman"/>
          <w:sz w:val="24"/>
          <w:szCs w:val="24"/>
        </w:rPr>
        <w:t xml:space="preserve">Quondam, A., (2017)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Il classicismo restaurato. L’idea del Bello e il canone delle arti secondo Bellori</w:t>
      </w:r>
      <w:r w:rsidRPr="00D10F25">
        <w:rPr>
          <w:rFonts w:ascii="Times New Roman" w:hAnsi="Times New Roman" w:cs="Times New Roman"/>
          <w:sz w:val="24"/>
          <w:szCs w:val="24"/>
        </w:rPr>
        <w:t xml:space="preserve">, in 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>Settecento romano. Reti del classicismo arcadico</w:t>
      </w:r>
      <w:r w:rsidRPr="00D10F25">
        <w:rPr>
          <w:rFonts w:ascii="Times New Roman" w:hAnsi="Times New Roman" w:cs="Times New Roman"/>
          <w:sz w:val="24"/>
          <w:szCs w:val="24"/>
        </w:rPr>
        <w:t>, a cura di B. Alfonzetti, Roma 2017, pp. 3-51.</w:t>
      </w:r>
    </w:p>
    <w:p w14:paraId="07587FE4" w14:textId="77777777" w:rsidR="00D10F25" w:rsidRPr="00D10F25" w:rsidRDefault="00D10F25" w:rsidP="000A0E07">
      <w:pPr>
        <w:pStyle w:val="Testonotaapidipagina"/>
        <w:rPr>
          <w:rFonts w:ascii="Times New Roman" w:hAnsi="Times New Roman" w:cs="Times New Roman"/>
          <w:sz w:val="24"/>
          <w:szCs w:val="24"/>
          <w:lang w:val="en-US"/>
        </w:rPr>
      </w:pPr>
      <w:r w:rsidRPr="00D10F25">
        <w:rPr>
          <w:rFonts w:ascii="Times New Roman" w:hAnsi="Times New Roman" w:cs="Times New Roman"/>
          <w:sz w:val="24"/>
          <w:szCs w:val="24"/>
        </w:rPr>
        <w:t>S. Prosperi Valenti Rodinò (2019)</w:t>
      </w:r>
      <w:r w:rsidRPr="00D10F25">
        <w:rPr>
          <w:rFonts w:ascii="Times New Roman" w:hAnsi="Times New Roman" w:cs="Times New Roman"/>
          <w:i/>
          <w:iCs/>
          <w:sz w:val="24"/>
          <w:szCs w:val="24"/>
        </w:rPr>
        <w:t xml:space="preserve">, Anna Forlani. </w:t>
      </w:r>
      <w:r w:rsidRPr="00D10F25">
        <w:rPr>
          <w:rFonts w:ascii="Times New Roman" w:hAnsi="Times New Roman" w:cs="Times New Roman"/>
          <w:i/>
          <w:iCs/>
          <w:sz w:val="24"/>
          <w:szCs w:val="24"/>
          <w:lang w:val="en-US"/>
        </w:rPr>
        <w:t>Obituary</w:t>
      </w:r>
      <w:r w:rsidRPr="00D10F25">
        <w:rPr>
          <w:rFonts w:ascii="Times New Roman" w:hAnsi="Times New Roman" w:cs="Times New Roman"/>
          <w:sz w:val="24"/>
          <w:szCs w:val="24"/>
          <w:lang w:val="en-US"/>
        </w:rPr>
        <w:t>, in «Master Drawings», LVII, 2, 2019, p. 265.</w:t>
      </w:r>
    </w:p>
    <w:sectPr w:rsidR="00D10F25" w:rsidRPr="00D10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07"/>
    <w:rsid w:val="00013F7A"/>
    <w:rsid w:val="0003273F"/>
    <w:rsid w:val="00037931"/>
    <w:rsid w:val="000A0E07"/>
    <w:rsid w:val="00175806"/>
    <w:rsid w:val="001E759E"/>
    <w:rsid w:val="00284A61"/>
    <w:rsid w:val="002B21B3"/>
    <w:rsid w:val="002E4247"/>
    <w:rsid w:val="002E49DB"/>
    <w:rsid w:val="002F47BD"/>
    <w:rsid w:val="003365CD"/>
    <w:rsid w:val="00420B79"/>
    <w:rsid w:val="00421355"/>
    <w:rsid w:val="004C4D11"/>
    <w:rsid w:val="004E2AC1"/>
    <w:rsid w:val="00504F29"/>
    <w:rsid w:val="005B3FE2"/>
    <w:rsid w:val="005B702C"/>
    <w:rsid w:val="0061251C"/>
    <w:rsid w:val="00646C78"/>
    <w:rsid w:val="006D0EAC"/>
    <w:rsid w:val="00702491"/>
    <w:rsid w:val="00754509"/>
    <w:rsid w:val="00794F03"/>
    <w:rsid w:val="008137EA"/>
    <w:rsid w:val="00872370"/>
    <w:rsid w:val="00890AAD"/>
    <w:rsid w:val="00931816"/>
    <w:rsid w:val="0095153F"/>
    <w:rsid w:val="00971480"/>
    <w:rsid w:val="009F4658"/>
    <w:rsid w:val="00A14E21"/>
    <w:rsid w:val="00A319AE"/>
    <w:rsid w:val="00AF40AE"/>
    <w:rsid w:val="00B54137"/>
    <w:rsid w:val="00B82A4D"/>
    <w:rsid w:val="00BA21F8"/>
    <w:rsid w:val="00BC31EE"/>
    <w:rsid w:val="00BC7AB2"/>
    <w:rsid w:val="00C72540"/>
    <w:rsid w:val="00CA39AF"/>
    <w:rsid w:val="00D10F25"/>
    <w:rsid w:val="00D15190"/>
    <w:rsid w:val="00D55902"/>
    <w:rsid w:val="00D5616C"/>
    <w:rsid w:val="00E16BB7"/>
    <w:rsid w:val="00E979B2"/>
    <w:rsid w:val="00EF3976"/>
    <w:rsid w:val="00EF3A13"/>
    <w:rsid w:val="00F87BD9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9BAB3"/>
  <w15:chartTrackingRefBased/>
  <w15:docId w15:val="{61E48A9C-DEB1-E54E-BFFC-45FB1AC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0E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0E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0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grammabarocco.fondazione1563.it/strumenti/pubblicazio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Miarelli Mariani</dc:creator>
  <cp:keywords/>
  <dc:description/>
  <cp:lastModifiedBy>Ilaria Miarelli Mariani</cp:lastModifiedBy>
  <cp:revision>50</cp:revision>
  <dcterms:created xsi:type="dcterms:W3CDTF">2022-06-03T14:00:00Z</dcterms:created>
  <dcterms:modified xsi:type="dcterms:W3CDTF">2022-07-17T13:36:00Z</dcterms:modified>
</cp:coreProperties>
</file>