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50CF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>Appendice</w:t>
      </w:r>
    </w:p>
    <w:p w14:paraId="3690C800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6B5587AE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4B431CB1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1 Procacci U. a cura di (1946), </w:t>
      </w:r>
      <w:r w:rsidRPr="006D19CE">
        <w:rPr>
          <w:rFonts w:ascii="Book Antiqua" w:hAnsi="Book Antiqua"/>
          <w:i/>
          <w:iCs/>
        </w:rPr>
        <w:t>Mostra di opere d’arte restaurate</w:t>
      </w:r>
      <w:r w:rsidRPr="006D19CE">
        <w:rPr>
          <w:rFonts w:ascii="Book Antiqua" w:hAnsi="Book Antiqua"/>
        </w:rPr>
        <w:t>, catalogo della mostra (Galleria dell’Accademia, Firenze, ottobre-novembre 1946), Firenze: Tipografia Giuntina</w:t>
      </w:r>
    </w:p>
    <w:p w14:paraId="68B07D27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55BE2C9D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2   Procacci U. (1958), </w:t>
      </w:r>
      <w:r w:rsidRPr="006D19CE">
        <w:rPr>
          <w:rFonts w:ascii="Book Antiqua" w:hAnsi="Book Antiqua"/>
          <w:i/>
          <w:iCs/>
        </w:rPr>
        <w:t>La tecnica degli antichi affreschi e il loro distacco e restauro</w:t>
      </w:r>
      <w:r w:rsidRPr="006D19CE">
        <w:rPr>
          <w:rFonts w:ascii="Book Antiqua" w:hAnsi="Book Antiqua"/>
        </w:rPr>
        <w:t>, Firenze: Tipografia Giuntina</w:t>
      </w:r>
    </w:p>
    <w:p w14:paraId="7BC26F01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6D296FBF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3 Salmi M., a cura di (1954), </w:t>
      </w:r>
      <w:r w:rsidRPr="006D19CE">
        <w:rPr>
          <w:rFonts w:ascii="Book Antiqua" w:hAnsi="Book Antiqua"/>
          <w:i/>
          <w:iCs/>
        </w:rPr>
        <w:t>Mostra di quattro maestri del primo Rinascimento</w:t>
      </w:r>
      <w:r w:rsidRPr="006D19CE">
        <w:rPr>
          <w:rFonts w:ascii="Book Antiqua" w:hAnsi="Book Antiqua"/>
        </w:rPr>
        <w:t>, catalogo della mostra, (Palazzo Strozzi, Firenze, aprile – luglio 1954), Firenze: Tipografia Giuntina</w:t>
      </w:r>
    </w:p>
    <w:p w14:paraId="69B0F249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444BDD1F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4 Berti L. a cura di (1956), </w:t>
      </w:r>
      <w:r w:rsidRPr="006D19CE">
        <w:rPr>
          <w:rFonts w:ascii="Book Antiqua" w:hAnsi="Book Antiqua"/>
          <w:i/>
          <w:iCs/>
        </w:rPr>
        <w:t>Mostra del Pontormo e del Primo manierismo</w:t>
      </w:r>
      <w:r w:rsidRPr="006D19CE">
        <w:rPr>
          <w:rFonts w:ascii="Book Antiqua" w:hAnsi="Book Antiqua"/>
        </w:rPr>
        <w:t>, catalogo della mostra (Palazzo Strozzi, Firenze, marzo-luglio 1956), Firenze: Tipografia Giuntina</w:t>
      </w:r>
    </w:p>
    <w:p w14:paraId="2D6EB8BE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0BB219A2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5 Baldini U., Berti L., a cura di (1957), </w:t>
      </w:r>
      <w:r w:rsidRPr="006D19CE">
        <w:rPr>
          <w:rFonts w:ascii="Book Antiqua" w:hAnsi="Book Antiqua"/>
          <w:i/>
          <w:iCs/>
        </w:rPr>
        <w:t>Mostra di affreschi staccati</w:t>
      </w:r>
      <w:r w:rsidRPr="006D19CE">
        <w:rPr>
          <w:rFonts w:ascii="Book Antiqua" w:hAnsi="Book Antiqua"/>
        </w:rPr>
        <w:t xml:space="preserve"> (Forte di Belvedere, Firenze, luglio-settembre 1957), Firenze: Tipografia Giuntina</w:t>
      </w:r>
    </w:p>
    <w:p w14:paraId="4A8E0FB4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46FD3A8A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  <w:r w:rsidRPr="006D19CE">
        <w:rPr>
          <w:rFonts w:ascii="Book Antiqua" w:hAnsi="Book Antiqua"/>
        </w:rPr>
        <w:t xml:space="preserve">Fig. 6 Marchini G., a cura di (1969), </w:t>
      </w:r>
      <w:r w:rsidRPr="006D19CE">
        <w:rPr>
          <w:rFonts w:ascii="Book Antiqua" w:hAnsi="Book Antiqua"/>
          <w:i/>
          <w:iCs/>
        </w:rPr>
        <w:t>Due secoli di pittura murale a Prato. Mostra di affreschi, sinopie e graffiti</w:t>
      </w:r>
      <w:r w:rsidRPr="006D19CE">
        <w:rPr>
          <w:rFonts w:ascii="Book Antiqua" w:hAnsi="Book Antiqua"/>
        </w:rPr>
        <w:t>, catalogo della mostra, (Palazzo Pretorio, Prato, settembre-novembre 1969), Prato: Azienda autonoma di turismo</w:t>
      </w:r>
    </w:p>
    <w:p w14:paraId="7BBBAB47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/>
        </w:rPr>
      </w:pPr>
    </w:p>
    <w:p w14:paraId="69A6B941" w14:textId="77777777" w:rsidR="00DC41FB" w:rsidRDefault="00DC41FB" w:rsidP="00DC41FB">
      <w:pPr>
        <w:pStyle w:val="Testonotaapidipagina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6D19CE">
        <w:rPr>
          <w:rFonts w:ascii="Book Antiqua" w:hAnsi="Book Antiqua"/>
          <w:sz w:val="24"/>
          <w:szCs w:val="24"/>
        </w:rPr>
        <w:t xml:space="preserve">Fig. 7 </w:t>
      </w:r>
      <w:r w:rsidRPr="006D19CE">
        <w:rPr>
          <w:rFonts w:ascii="Book Antiqua" w:hAnsi="Book Antiqua"/>
          <w:i/>
          <w:iCs/>
          <w:sz w:val="24"/>
          <w:szCs w:val="24"/>
          <w:shd w:val="clear" w:color="auto" w:fill="FFFFFF"/>
        </w:rPr>
        <w:t>Da Firenze. I secoli d’oro dell’affresco italiano</w:t>
      </w:r>
      <w:r w:rsidRPr="006D19CE">
        <w:rPr>
          <w:rFonts w:ascii="Book Antiqua" w:hAnsi="Book Antiqua"/>
          <w:sz w:val="24"/>
          <w:szCs w:val="24"/>
          <w:shd w:val="clear" w:color="auto" w:fill="FFFFFF"/>
        </w:rPr>
        <w:t xml:space="preserve"> (1970), catalogo della mostra (Padiglione Conza, Lugano, 28 giugno – 30 agosto 1970), Firenze: AGAF</w:t>
      </w:r>
    </w:p>
    <w:p w14:paraId="3C1DD332" w14:textId="77777777" w:rsidR="00DC41FB" w:rsidRDefault="00DC41FB" w:rsidP="00DC41FB">
      <w:pPr>
        <w:pStyle w:val="Testonotaapidipagina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14:paraId="5F3C042C" w14:textId="77777777" w:rsidR="00DC41FB" w:rsidRPr="006D19CE" w:rsidRDefault="00DC41FB" w:rsidP="00DC41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="Book Antiqua" w:hAnsi="Book Antiqua" w:cs="Times-Italic"/>
        </w:rPr>
      </w:pPr>
      <w:r>
        <w:rPr>
          <w:rFonts w:ascii="Book Antiqua" w:hAnsi="Book Antiqua"/>
          <w:shd w:val="clear" w:color="auto" w:fill="FFFFFF"/>
        </w:rPr>
        <w:t xml:space="preserve">Fig.8 Poster di </w:t>
      </w:r>
      <w:proofErr w:type="spellStart"/>
      <w:r w:rsidRPr="006D19CE">
        <w:rPr>
          <w:rFonts w:ascii="Book Antiqua" w:hAnsi="Book Antiqua" w:cs="Times-Italic"/>
          <w:i/>
          <w:iCs/>
        </w:rPr>
        <w:t>Frescoes</w:t>
      </w:r>
      <w:proofErr w:type="spellEnd"/>
      <w:r w:rsidRPr="006D19CE">
        <w:rPr>
          <w:rFonts w:ascii="Book Antiqua" w:hAnsi="Book Antiqua" w:cs="Times-Italic"/>
          <w:i/>
          <w:iCs/>
        </w:rPr>
        <w:t xml:space="preserve"> from Florence</w:t>
      </w:r>
      <w:r w:rsidRPr="006D19CE">
        <w:rPr>
          <w:rFonts w:ascii="Book Antiqua" w:hAnsi="Book Antiqua" w:cs="Times-Italic"/>
        </w:rPr>
        <w:t xml:space="preserve"> (1969), catalogo della mostra, (</w:t>
      </w:r>
      <w:proofErr w:type="spellStart"/>
      <w:r w:rsidRPr="006D19CE">
        <w:rPr>
          <w:rFonts w:ascii="Book Antiqua" w:hAnsi="Book Antiqua" w:cs="Times-Italic"/>
        </w:rPr>
        <w:t>Ayward</w:t>
      </w:r>
      <w:proofErr w:type="spellEnd"/>
      <w:r w:rsidRPr="006D19CE">
        <w:rPr>
          <w:rFonts w:ascii="Book Antiqua" w:hAnsi="Book Antiqua" w:cs="Times-Italic"/>
        </w:rPr>
        <w:t xml:space="preserve"> Gallery, Londra, 3 aprile - 15 giugno 1969), Firenze: AGAF</w:t>
      </w:r>
      <w:r>
        <w:rPr>
          <w:rFonts w:ascii="Book Antiqua" w:hAnsi="Book Antiqua" w:cs="Times-Italic"/>
        </w:rPr>
        <w:t>, collezione privata</w:t>
      </w:r>
    </w:p>
    <w:p w14:paraId="1C78F21D" w14:textId="77777777" w:rsidR="00DC41FB" w:rsidRDefault="00DC41FB" w:rsidP="00DC41FB">
      <w:pPr>
        <w:pStyle w:val="Testonotaapidipagina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14:paraId="66ED0C1D" w14:textId="77777777" w:rsidR="00DC41FB" w:rsidRPr="006D19CE" w:rsidRDefault="00DC41FB" w:rsidP="00DC41FB">
      <w:pPr>
        <w:pStyle w:val="Testonotaapidipagina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Fig. </w:t>
      </w:r>
      <w:proofErr w:type="gramStart"/>
      <w:r>
        <w:rPr>
          <w:rFonts w:ascii="Book Antiqua" w:hAnsi="Book Antiqua"/>
          <w:sz w:val="24"/>
          <w:szCs w:val="24"/>
          <w:shd w:val="clear" w:color="auto" w:fill="FFFFFF"/>
        </w:rPr>
        <w:t xml:space="preserve">9  </w:t>
      </w:r>
      <w:r w:rsidRPr="006D19CE">
        <w:rPr>
          <w:rFonts w:ascii="Book Antiqua" w:hAnsi="Book Antiqua"/>
          <w:sz w:val="24"/>
          <w:szCs w:val="24"/>
        </w:rPr>
        <w:t>Berti</w:t>
      </w:r>
      <w:proofErr w:type="gramEnd"/>
      <w:r w:rsidRPr="006D19CE">
        <w:rPr>
          <w:rFonts w:ascii="Book Antiqua" w:hAnsi="Book Antiqua"/>
          <w:sz w:val="24"/>
          <w:szCs w:val="24"/>
        </w:rPr>
        <w:t xml:space="preserve"> L., a cura di (1979), </w:t>
      </w:r>
      <w:proofErr w:type="spellStart"/>
      <w:r w:rsidRPr="006D19CE">
        <w:rPr>
          <w:rFonts w:ascii="Book Antiqua" w:hAnsi="Book Antiqua"/>
          <w:i/>
          <w:iCs/>
          <w:sz w:val="24"/>
          <w:szCs w:val="24"/>
        </w:rPr>
        <w:t>Frescos</w:t>
      </w:r>
      <w:proofErr w:type="spellEnd"/>
      <w:r w:rsidRPr="006D19CE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6D19CE">
        <w:rPr>
          <w:rFonts w:ascii="Book Antiqua" w:hAnsi="Book Antiqua"/>
          <w:i/>
          <w:iCs/>
          <w:sz w:val="24"/>
          <w:szCs w:val="24"/>
        </w:rPr>
        <w:t>florentinos</w:t>
      </w:r>
      <w:proofErr w:type="spellEnd"/>
      <w:r w:rsidRPr="006D19CE">
        <w:rPr>
          <w:rFonts w:ascii="Book Antiqua" w:hAnsi="Book Antiqua"/>
          <w:i/>
          <w:iCs/>
          <w:sz w:val="24"/>
          <w:szCs w:val="24"/>
        </w:rPr>
        <w:t xml:space="preserve"> del </w:t>
      </w:r>
      <w:proofErr w:type="spellStart"/>
      <w:r w:rsidRPr="006D19CE">
        <w:rPr>
          <w:rFonts w:ascii="Book Antiqua" w:hAnsi="Book Antiqua"/>
          <w:i/>
          <w:iCs/>
          <w:sz w:val="24"/>
          <w:szCs w:val="24"/>
        </w:rPr>
        <w:t>Renacimiento</w:t>
      </w:r>
      <w:proofErr w:type="spellEnd"/>
      <w:r w:rsidRPr="006D19CE">
        <w:rPr>
          <w:rFonts w:ascii="Book Antiqua" w:hAnsi="Book Antiqua"/>
          <w:i/>
          <w:iCs/>
          <w:sz w:val="24"/>
          <w:szCs w:val="24"/>
        </w:rPr>
        <w:t xml:space="preserve"> de </w:t>
      </w:r>
      <w:proofErr w:type="spellStart"/>
      <w:r w:rsidRPr="006D19CE">
        <w:rPr>
          <w:rFonts w:ascii="Book Antiqua" w:hAnsi="Book Antiqua"/>
          <w:i/>
          <w:iCs/>
          <w:sz w:val="24"/>
          <w:szCs w:val="24"/>
        </w:rPr>
        <w:t>los</w:t>
      </w:r>
      <w:proofErr w:type="spellEnd"/>
      <w:r w:rsidRPr="006D19CE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6D19CE">
        <w:rPr>
          <w:rFonts w:ascii="Book Antiqua" w:hAnsi="Book Antiqua"/>
          <w:i/>
          <w:iCs/>
          <w:sz w:val="24"/>
          <w:szCs w:val="24"/>
        </w:rPr>
        <w:t>siglos</w:t>
      </w:r>
      <w:proofErr w:type="spellEnd"/>
      <w:r w:rsidRPr="006D19CE">
        <w:rPr>
          <w:rFonts w:ascii="Book Antiqua" w:hAnsi="Book Antiqua"/>
          <w:i/>
          <w:iCs/>
          <w:sz w:val="24"/>
          <w:szCs w:val="24"/>
        </w:rPr>
        <w:t xml:space="preserve"> XIII al XVII</w:t>
      </w:r>
      <w:r w:rsidRPr="006D19CE">
        <w:rPr>
          <w:rFonts w:ascii="Book Antiqua" w:hAnsi="Book Antiqua"/>
          <w:sz w:val="24"/>
          <w:szCs w:val="24"/>
        </w:rPr>
        <w:t>, catalogo della mostra (Museo de arte moderno Bosque De Chapultepec, Città del Messico, novembre 1979-gennaio 1980), Città del Messico: Madero</w:t>
      </w:r>
    </w:p>
    <w:p w14:paraId="2EF69C9D" w14:textId="77777777" w:rsidR="000F39A2" w:rsidRDefault="000F39A2"/>
    <w:sectPr w:rsidR="000F3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B"/>
    <w:rsid w:val="000F39A2"/>
    <w:rsid w:val="00D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5711"/>
  <w15:chartTrackingRefBased/>
  <w15:docId w15:val="{5121E08E-F4E0-431F-BF07-52E0364B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D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C41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C41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Ciancabilla</dc:creator>
  <cp:keywords/>
  <dc:description/>
  <cp:lastModifiedBy>Luca Ciancabilla</cp:lastModifiedBy>
  <cp:revision>1</cp:revision>
  <dcterms:created xsi:type="dcterms:W3CDTF">2022-01-26T11:10:00Z</dcterms:created>
  <dcterms:modified xsi:type="dcterms:W3CDTF">2022-01-26T11:11:00Z</dcterms:modified>
</cp:coreProperties>
</file>