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5A1E" w14:textId="77777777" w:rsidR="006E0D39" w:rsidRPr="006C1FAB" w:rsidRDefault="006E0D39" w:rsidP="006C1FAB">
      <w:pPr>
        <w:spacing w:line="240" w:lineRule="auto"/>
        <w:ind w:left="-567" w:right="-851" w:firstLine="0"/>
        <w:rPr>
          <w:b/>
          <w:color w:val="000000" w:themeColor="text1"/>
          <w:lang w:val="en-US"/>
        </w:rPr>
      </w:pPr>
      <w:r w:rsidRPr="006C1FAB">
        <w:rPr>
          <w:b/>
          <w:color w:val="000000" w:themeColor="text1"/>
          <w:lang w:val="en"/>
        </w:rPr>
        <w:t>The impact of the COVID-19 pandemic on the median municipalities of Galicia (Spain): a geographical study on a specific territorial scale</w:t>
      </w:r>
    </w:p>
    <w:p w14:paraId="2FD51E04" w14:textId="77777777" w:rsidR="006E0D39" w:rsidRPr="006C1FAB" w:rsidRDefault="006E0D39" w:rsidP="006C1FAB">
      <w:pPr>
        <w:pStyle w:val="P68B1DB1-Normal1"/>
        <w:spacing w:line="240" w:lineRule="auto"/>
        <w:ind w:left="-567" w:right="-851" w:firstLine="0"/>
        <w:rPr>
          <w:color w:val="000000" w:themeColor="text1"/>
          <w:lang w:val="en-US"/>
        </w:rPr>
      </w:pPr>
    </w:p>
    <w:p w14:paraId="68ED1FB7" w14:textId="3596EBD9" w:rsidR="009D53CE" w:rsidRPr="006C1FAB" w:rsidRDefault="00A133AE" w:rsidP="006C1FAB">
      <w:pPr>
        <w:pStyle w:val="P68B1DB1-Normal3"/>
        <w:spacing w:line="240" w:lineRule="auto"/>
        <w:ind w:left="-567" w:right="-851" w:firstLine="0"/>
        <w:rPr>
          <w:color w:val="000000" w:themeColor="text1"/>
        </w:rPr>
      </w:pPr>
      <w:r w:rsidRPr="006C1FAB">
        <w:rPr>
          <w:color w:val="000000" w:themeColor="text1"/>
        </w:rPr>
        <w:t>Abstract</w:t>
      </w:r>
    </w:p>
    <w:p w14:paraId="6BE6A497" w14:textId="55D7857B" w:rsidR="009D53CE" w:rsidRPr="006C1FAB" w:rsidRDefault="00197752" w:rsidP="006C1FAB">
      <w:pPr>
        <w:spacing w:line="240" w:lineRule="auto"/>
        <w:ind w:left="-567" w:right="-851" w:firstLine="0"/>
        <w:rPr>
          <w:color w:val="000000" w:themeColor="text1"/>
        </w:rPr>
      </w:pPr>
      <w:r w:rsidRPr="006C1FAB">
        <w:rPr>
          <w:color w:val="000000" w:themeColor="text1"/>
        </w:rPr>
        <w:t xml:space="preserve">The coronavirus </w:t>
      </w:r>
      <w:r w:rsidR="003D3A6F" w:rsidRPr="006C1FAB">
        <w:rPr>
          <w:color w:val="000000" w:themeColor="text1"/>
        </w:rPr>
        <w:t xml:space="preserve">pandemic </w:t>
      </w:r>
      <w:r w:rsidRPr="006C1FAB">
        <w:rPr>
          <w:color w:val="000000" w:themeColor="text1"/>
        </w:rPr>
        <w:t xml:space="preserve">has had an unprecedented impact on society and, especially, in cities. The concept of </w:t>
      </w:r>
      <w:r w:rsidR="00E65A15" w:rsidRPr="006C1FAB">
        <w:rPr>
          <w:color w:val="000000" w:themeColor="text1"/>
        </w:rPr>
        <w:t xml:space="preserve">the </w:t>
      </w:r>
      <w:r w:rsidRPr="006C1FAB">
        <w:rPr>
          <w:color w:val="000000" w:themeColor="text1"/>
        </w:rPr>
        <w:t xml:space="preserve">city includes nuclei of very different sizes and functions. Therefore, it is necessary to ask whether the incidence of COVID-19 in the main cities and in the smaller ones has been similar. Due to their characteristics, </w:t>
      </w:r>
      <w:r w:rsidR="006E0D39" w:rsidRPr="006C1FAB">
        <w:rPr>
          <w:color w:val="000000" w:themeColor="text1"/>
        </w:rPr>
        <w:t xml:space="preserve">in Galicia </w:t>
      </w:r>
      <w:r w:rsidRPr="006C1FAB">
        <w:rPr>
          <w:color w:val="000000" w:themeColor="text1"/>
        </w:rPr>
        <w:t>small cities have a series of advantages related to their size</w:t>
      </w:r>
      <w:r w:rsidR="006E0D39" w:rsidRPr="006C1FAB">
        <w:rPr>
          <w:color w:val="000000" w:themeColor="text1"/>
        </w:rPr>
        <w:t xml:space="preserve">, as they </w:t>
      </w:r>
      <w:proofErr w:type="gramStart"/>
      <w:r w:rsidR="006E0D39" w:rsidRPr="006C1FAB">
        <w:rPr>
          <w:color w:val="000000" w:themeColor="text1"/>
        </w:rPr>
        <w:t>are located in</w:t>
      </w:r>
      <w:proofErr w:type="gramEnd"/>
      <w:r w:rsidR="006E0D39" w:rsidRPr="006C1FAB">
        <w:rPr>
          <w:color w:val="000000" w:themeColor="text1"/>
        </w:rPr>
        <w:t xml:space="preserve"> the average municipalities that have </w:t>
      </w:r>
      <w:r w:rsidRPr="006C1FAB">
        <w:rPr>
          <w:color w:val="000000" w:themeColor="text1"/>
        </w:rPr>
        <w:t>from 5,000 to 20,000 inhabitants, density, way of life, etc. It is also about understanding whether</w:t>
      </w:r>
      <w:proofErr w:type="gramStart"/>
      <w:r w:rsidRPr="006C1FAB">
        <w:rPr>
          <w:color w:val="000000" w:themeColor="text1"/>
        </w:rPr>
        <w:t>, as a whole, they</w:t>
      </w:r>
      <w:proofErr w:type="gramEnd"/>
      <w:r w:rsidRPr="006C1FAB">
        <w:rPr>
          <w:color w:val="000000" w:themeColor="text1"/>
        </w:rPr>
        <w:t xml:space="preserve"> have behaved better than the large regional urban centres with respect to the virus</w:t>
      </w:r>
      <w:r w:rsidR="005F75D3" w:rsidRPr="006C1FAB">
        <w:rPr>
          <w:color w:val="000000" w:themeColor="text1"/>
        </w:rPr>
        <w:t>,</w:t>
      </w:r>
      <w:r w:rsidRPr="006C1FAB">
        <w:rPr>
          <w:color w:val="000000" w:themeColor="text1"/>
        </w:rPr>
        <w:t xml:space="preserve"> or if the</w:t>
      </w:r>
      <w:r w:rsidR="005F75D3" w:rsidRPr="006C1FAB">
        <w:rPr>
          <w:color w:val="000000" w:themeColor="text1"/>
        </w:rPr>
        <w:t xml:space="preserve">ir </w:t>
      </w:r>
      <w:r w:rsidRPr="006C1FAB">
        <w:rPr>
          <w:color w:val="000000" w:themeColor="text1"/>
        </w:rPr>
        <w:t xml:space="preserve">degree of vulnerability is the same due to a </w:t>
      </w:r>
      <w:r w:rsidR="003D3A6F" w:rsidRPr="006C1FAB">
        <w:rPr>
          <w:color w:val="000000" w:themeColor="text1"/>
        </w:rPr>
        <w:t>great</w:t>
      </w:r>
      <w:r w:rsidRPr="006C1FAB">
        <w:rPr>
          <w:color w:val="000000" w:themeColor="text1"/>
        </w:rPr>
        <w:t xml:space="preserve"> level of compactness and very high densities. </w:t>
      </w:r>
      <w:r w:rsidR="00C75E7A" w:rsidRPr="006C1FAB">
        <w:rPr>
          <w:color w:val="000000" w:themeColor="text1"/>
        </w:rPr>
        <w:t>This</w:t>
      </w:r>
      <w:r w:rsidRPr="006C1FAB">
        <w:rPr>
          <w:color w:val="000000" w:themeColor="text1"/>
        </w:rPr>
        <w:t xml:space="preserve"> research focus</w:t>
      </w:r>
      <w:r w:rsidR="005F75D3" w:rsidRPr="006C1FAB">
        <w:rPr>
          <w:color w:val="000000" w:themeColor="text1"/>
        </w:rPr>
        <w:t>es</w:t>
      </w:r>
      <w:r w:rsidRPr="006C1FAB">
        <w:rPr>
          <w:color w:val="000000" w:themeColor="text1"/>
        </w:rPr>
        <w:t xml:space="preserve"> on the period March-June 2020, with detailed data on COVID-19 infections thanks to a </w:t>
      </w:r>
      <w:r w:rsidR="003D3A6F" w:rsidRPr="006C1FAB">
        <w:rPr>
          <w:color w:val="000000" w:themeColor="text1"/>
        </w:rPr>
        <w:t xml:space="preserve">previous </w:t>
      </w:r>
      <w:r w:rsidRPr="006C1FAB">
        <w:rPr>
          <w:color w:val="000000" w:themeColor="text1"/>
        </w:rPr>
        <w:t xml:space="preserve">research project. </w:t>
      </w:r>
      <w:r w:rsidR="00C75E7A" w:rsidRPr="006C1FAB">
        <w:rPr>
          <w:color w:val="000000" w:themeColor="text1"/>
        </w:rPr>
        <w:t>The</w:t>
      </w:r>
      <w:r w:rsidRPr="006C1FAB">
        <w:rPr>
          <w:color w:val="000000" w:themeColor="text1"/>
        </w:rPr>
        <w:t xml:space="preserve"> analysis will allow us to conclude if small cities </w:t>
      </w:r>
      <w:r w:rsidR="005F75D3" w:rsidRPr="006C1FAB">
        <w:rPr>
          <w:color w:val="000000" w:themeColor="text1"/>
        </w:rPr>
        <w:t xml:space="preserve">have manifested </w:t>
      </w:r>
      <w:r w:rsidRPr="006C1FAB">
        <w:rPr>
          <w:color w:val="000000" w:themeColor="text1"/>
        </w:rPr>
        <w:t xml:space="preserve">their own </w:t>
      </w:r>
      <w:r w:rsidR="005F75D3" w:rsidRPr="006C1FAB">
        <w:rPr>
          <w:color w:val="000000" w:themeColor="text1"/>
        </w:rPr>
        <w:t>characteristics</w:t>
      </w:r>
      <w:r w:rsidRPr="006C1FAB">
        <w:rPr>
          <w:color w:val="000000" w:themeColor="text1"/>
        </w:rPr>
        <w:t xml:space="preserve"> compared to large ones, or if they </w:t>
      </w:r>
      <w:r w:rsidR="005F75D3" w:rsidRPr="006C1FAB">
        <w:rPr>
          <w:color w:val="000000" w:themeColor="text1"/>
        </w:rPr>
        <w:t xml:space="preserve">have </w:t>
      </w:r>
      <w:r w:rsidRPr="006C1FAB">
        <w:rPr>
          <w:color w:val="000000" w:themeColor="text1"/>
        </w:rPr>
        <w:t>reproduce</w:t>
      </w:r>
      <w:r w:rsidR="005F75D3" w:rsidRPr="006C1FAB">
        <w:rPr>
          <w:color w:val="000000" w:themeColor="text1"/>
        </w:rPr>
        <w:t>d</w:t>
      </w:r>
      <w:r w:rsidRPr="006C1FAB">
        <w:rPr>
          <w:color w:val="000000" w:themeColor="text1"/>
        </w:rPr>
        <w:t xml:space="preserve"> the same dynamics during the pandemic.</w:t>
      </w:r>
    </w:p>
    <w:p w14:paraId="0A453164" w14:textId="77777777" w:rsidR="009D53CE" w:rsidRPr="006C1FAB" w:rsidRDefault="009D53CE" w:rsidP="006C1FAB">
      <w:pPr>
        <w:spacing w:line="240" w:lineRule="auto"/>
        <w:ind w:left="-567" w:right="-851" w:firstLine="0"/>
        <w:rPr>
          <w:color w:val="000000" w:themeColor="text1"/>
        </w:rPr>
      </w:pPr>
    </w:p>
    <w:p w14:paraId="1B84789C" w14:textId="77777777" w:rsidR="009D53CE" w:rsidRPr="006C1FAB" w:rsidRDefault="00197752" w:rsidP="006C1FAB">
      <w:pPr>
        <w:pStyle w:val="P68B1DB1-Normal4"/>
        <w:spacing w:line="240" w:lineRule="auto"/>
        <w:ind w:left="-567" w:right="-851" w:firstLine="0"/>
        <w:rPr>
          <w:color w:val="000000" w:themeColor="text1"/>
        </w:rPr>
      </w:pPr>
      <w:r w:rsidRPr="006C1FAB">
        <w:rPr>
          <w:b w:val="0"/>
          <w:i w:val="0"/>
          <w:color w:val="000000" w:themeColor="text1"/>
        </w:rPr>
        <w:t>1</w:t>
      </w:r>
      <w:r w:rsidRPr="006C1FAB">
        <w:rPr>
          <w:b w:val="0"/>
          <w:color w:val="000000" w:themeColor="text1"/>
        </w:rPr>
        <w:t>.</w:t>
      </w:r>
      <w:r w:rsidRPr="006C1FAB">
        <w:rPr>
          <w:color w:val="000000" w:themeColor="text1"/>
        </w:rPr>
        <w:t xml:space="preserve"> </w:t>
      </w:r>
      <w:r w:rsidRPr="006C1FAB">
        <w:rPr>
          <w:b w:val="0"/>
          <w:color w:val="000000" w:themeColor="text1"/>
        </w:rPr>
        <w:t>Introduction</w:t>
      </w:r>
    </w:p>
    <w:p w14:paraId="4413C3C0" w14:textId="721FF3D5" w:rsidR="009D53CE" w:rsidRPr="006C1FAB" w:rsidRDefault="00197752" w:rsidP="006C1FAB">
      <w:pPr>
        <w:spacing w:line="240" w:lineRule="auto"/>
        <w:ind w:left="-567" w:right="-851" w:firstLine="0"/>
        <w:rPr>
          <w:rFonts w:cstheme="minorHAnsi"/>
          <w:color w:val="000000" w:themeColor="text1"/>
        </w:rPr>
      </w:pPr>
      <w:r w:rsidRPr="006C1FAB">
        <w:rPr>
          <w:rFonts w:cstheme="minorHAnsi"/>
          <w:color w:val="000000" w:themeColor="text1"/>
        </w:rPr>
        <w:t xml:space="preserve">The proliferation of news and research on the SARS-COVID pandemic shows that scientific knowledge has been used very unevenly to curb the disease. Thus, in the face of the rise of biomedical research, </w:t>
      </w:r>
      <w:proofErr w:type="gramStart"/>
      <w:r w:rsidRPr="006C1FAB">
        <w:rPr>
          <w:rFonts w:cstheme="minorHAnsi"/>
          <w:color w:val="000000" w:themeColor="text1"/>
        </w:rPr>
        <w:t>in particular virological</w:t>
      </w:r>
      <w:proofErr w:type="gramEnd"/>
      <w:r w:rsidRPr="006C1FAB">
        <w:rPr>
          <w:rFonts w:cstheme="minorHAnsi"/>
          <w:color w:val="000000" w:themeColor="text1"/>
        </w:rPr>
        <w:t xml:space="preserve"> and pharmaceutical, to respond in a conventional way to the challenge formulated, Social Sciences have remained in the background</w:t>
      </w:r>
      <w:r w:rsidR="0091073E" w:rsidRPr="006C1FAB">
        <w:rPr>
          <w:rFonts w:cstheme="minorHAnsi"/>
          <w:color w:val="000000" w:themeColor="text1"/>
        </w:rPr>
        <w:t>, although disciplines such as Geography have striven to carry out studies</w:t>
      </w:r>
      <w:r w:rsidR="006E184D" w:rsidRPr="006C1FAB">
        <w:rPr>
          <w:rStyle w:val="Refdenotaalpie"/>
          <w:rFonts w:cstheme="minorHAnsi"/>
          <w:color w:val="000000" w:themeColor="text1"/>
        </w:rPr>
        <w:footnoteReference w:id="1"/>
      </w:r>
      <w:r w:rsidRPr="006C1FAB">
        <w:rPr>
          <w:rFonts w:cstheme="minorHAnsi"/>
          <w:color w:val="000000" w:themeColor="text1"/>
        </w:rPr>
        <w:t>. In Europe, poor tracking of those infected has resulted in several deadly waves of the pandemic. The possibilities of contagion in homes, classrooms or cafeterias were analysed, but factories, shopping centres and supermarkets</w:t>
      </w:r>
      <w:r w:rsidR="00C75E7A" w:rsidRPr="006C1FAB">
        <w:rPr>
          <w:rFonts w:cstheme="minorHAnsi"/>
          <w:color w:val="000000" w:themeColor="text1"/>
        </w:rPr>
        <w:t xml:space="preserve"> were hardly studied</w:t>
      </w:r>
      <w:r w:rsidRPr="006C1FAB">
        <w:rPr>
          <w:rFonts w:cstheme="minorHAnsi"/>
          <w:color w:val="000000" w:themeColor="text1"/>
        </w:rPr>
        <w:t>, and no studies were carried out on the daily mobility habits of people</w:t>
      </w:r>
      <w:r w:rsidR="002271BA" w:rsidRPr="006C1FAB">
        <w:rPr>
          <w:rFonts w:cstheme="minorHAnsi"/>
          <w:color w:val="000000" w:themeColor="text1"/>
        </w:rPr>
        <w:t xml:space="preserve"> and</w:t>
      </w:r>
      <w:r w:rsidRPr="006C1FAB">
        <w:rPr>
          <w:rFonts w:cstheme="minorHAnsi"/>
          <w:color w:val="000000" w:themeColor="text1"/>
        </w:rPr>
        <w:t xml:space="preserve"> their life strategies in the crisis. </w:t>
      </w:r>
      <w:r w:rsidR="002271BA" w:rsidRPr="006C1FAB">
        <w:rPr>
          <w:rFonts w:cstheme="minorHAnsi"/>
          <w:color w:val="000000" w:themeColor="text1"/>
        </w:rPr>
        <w:t xml:space="preserve">The </w:t>
      </w:r>
      <w:r w:rsidRPr="006C1FAB">
        <w:rPr>
          <w:rFonts w:cstheme="minorHAnsi"/>
          <w:color w:val="000000" w:themeColor="text1"/>
        </w:rPr>
        <w:t>approaches focused on studying the habitat have been quite rare and general,</w:t>
      </w:r>
      <w:r w:rsidR="002271BA" w:rsidRPr="006C1FAB">
        <w:rPr>
          <w:rFonts w:cstheme="minorHAnsi"/>
          <w:color w:val="000000" w:themeColor="text1"/>
        </w:rPr>
        <w:t xml:space="preserve"> and among the areas that have barely been addressed to better understand and combat the pandemic, </w:t>
      </w:r>
      <w:r w:rsidRPr="006C1FAB">
        <w:rPr>
          <w:rFonts w:cstheme="minorHAnsi"/>
          <w:color w:val="000000" w:themeColor="text1"/>
        </w:rPr>
        <w:t>except for a few notable exceptions</w:t>
      </w:r>
      <w:r w:rsidRPr="006C1FAB">
        <w:rPr>
          <w:rStyle w:val="Refdenotaalpie"/>
          <w:rFonts w:cstheme="minorHAnsi"/>
          <w:color w:val="000000" w:themeColor="text1"/>
        </w:rPr>
        <w:footnoteReference w:id="2"/>
      </w:r>
      <w:r w:rsidRPr="006C1FAB">
        <w:rPr>
          <w:rFonts w:cstheme="minorHAnsi"/>
          <w:color w:val="000000" w:themeColor="text1"/>
        </w:rPr>
        <w:t>.</w:t>
      </w:r>
    </w:p>
    <w:p w14:paraId="454976BD" w14:textId="1AA4EABD" w:rsidR="009D53CE" w:rsidRPr="006C1FAB" w:rsidRDefault="00197752" w:rsidP="006C1FAB">
      <w:pPr>
        <w:spacing w:line="240" w:lineRule="auto"/>
        <w:ind w:left="-567" w:right="-851" w:firstLine="0"/>
        <w:rPr>
          <w:rFonts w:cstheme="minorHAnsi"/>
          <w:color w:val="000000" w:themeColor="text1"/>
        </w:rPr>
      </w:pPr>
      <w:r w:rsidRPr="006C1FAB">
        <w:rPr>
          <w:rFonts w:cstheme="minorHAnsi"/>
          <w:color w:val="000000" w:themeColor="text1"/>
        </w:rPr>
        <w:lastRenderedPageBreak/>
        <w:t>The analysis models on habitat and human ecology have been renewed in recent times both by Geography and Ecology</w:t>
      </w:r>
      <w:r w:rsidRPr="006C1FAB">
        <w:rPr>
          <w:rStyle w:val="Refdenotaalpie"/>
          <w:rFonts w:cstheme="minorHAnsi"/>
          <w:color w:val="000000" w:themeColor="text1"/>
        </w:rPr>
        <w:footnoteReference w:id="3"/>
      </w:r>
      <w:r w:rsidRPr="006C1FAB">
        <w:rPr>
          <w:rFonts w:cstheme="minorHAnsi"/>
          <w:color w:val="000000" w:themeColor="text1"/>
        </w:rPr>
        <w:t>. In both cases, the debate focuses on the compactness</w:t>
      </w:r>
      <w:r w:rsidR="00822429" w:rsidRPr="006C1FAB">
        <w:rPr>
          <w:rFonts w:cstheme="minorHAnsi"/>
          <w:color w:val="000000" w:themeColor="text1"/>
        </w:rPr>
        <w:t xml:space="preserve"> or </w:t>
      </w:r>
      <w:r w:rsidRPr="006C1FAB">
        <w:rPr>
          <w:rFonts w:cstheme="minorHAnsi"/>
          <w:color w:val="000000" w:themeColor="text1"/>
        </w:rPr>
        <w:t>dispersion of habitats as proven forms of space occupation, with all kinds of implications on environmental or health crises and their ways of dealing with them. Density becomes a key concept to understand the urban-rural transition and the different types of cities and rural centres, in relation to the natural characteristics of the territories that host them</w:t>
      </w:r>
      <w:r w:rsidRPr="006C1FAB">
        <w:rPr>
          <w:rStyle w:val="Refdenotaalpie"/>
          <w:rFonts w:cstheme="minorHAnsi"/>
          <w:color w:val="000000" w:themeColor="text1"/>
        </w:rPr>
        <w:footnoteReference w:id="4"/>
      </w:r>
      <w:r w:rsidRPr="006C1FAB">
        <w:rPr>
          <w:rFonts w:cstheme="minorHAnsi"/>
          <w:color w:val="000000" w:themeColor="text1"/>
        </w:rPr>
        <w:t xml:space="preserve">. The rapid spatial spread of COVID-19, favoured by travelling between large urban transport terminals from one region or country to another, shows that, in all the dense, compact neighbourhoods and cities of the world, the pandemic has increased </w:t>
      </w:r>
      <w:r w:rsidR="00822429" w:rsidRPr="006C1FAB">
        <w:rPr>
          <w:rFonts w:cstheme="minorHAnsi"/>
          <w:color w:val="000000" w:themeColor="text1"/>
        </w:rPr>
        <w:t>its</w:t>
      </w:r>
      <w:r w:rsidRPr="006C1FAB">
        <w:rPr>
          <w:rFonts w:cstheme="minorHAnsi"/>
          <w:color w:val="000000" w:themeColor="text1"/>
        </w:rPr>
        <w:t xml:space="preserve"> effects. Previously, this had already been observed in </w:t>
      </w:r>
      <w:r w:rsidR="00E90396" w:rsidRPr="006C1FAB">
        <w:rPr>
          <w:rFonts w:cstheme="minorHAnsi"/>
          <w:color w:val="000000" w:themeColor="text1"/>
        </w:rPr>
        <w:t xml:space="preserve">other </w:t>
      </w:r>
      <w:r w:rsidRPr="006C1FAB">
        <w:rPr>
          <w:rFonts w:cstheme="minorHAnsi"/>
          <w:color w:val="000000" w:themeColor="text1"/>
        </w:rPr>
        <w:t>widely spread infectious diseases</w:t>
      </w:r>
      <w:r w:rsidRPr="006C1FAB">
        <w:rPr>
          <w:rStyle w:val="Refdenotaalpie"/>
          <w:rFonts w:cstheme="minorHAnsi"/>
          <w:color w:val="000000" w:themeColor="text1"/>
        </w:rPr>
        <w:footnoteReference w:id="5"/>
      </w:r>
      <w:r w:rsidRPr="006C1FAB">
        <w:rPr>
          <w:rFonts w:cstheme="minorHAnsi"/>
          <w:color w:val="000000" w:themeColor="text1"/>
        </w:rPr>
        <w:t xml:space="preserve">. However, the current focus on pharmacological solutions and laboratory procedures, have relegated the </w:t>
      </w:r>
      <w:r w:rsidR="00822429" w:rsidRPr="006C1FAB">
        <w:rPr>
          <w:rFonts w:cstheme="minorHAnsi"/>
          <w:color w:val="000000" w:themeColor="text1"/>
        </w:rPr>
        <w:t>much</w:t>
      </w:r>
      <w:r w:rsidR="00C75E7A" w:rsidRPr="006C1FAB">
        <w:rPr>
          <w:rFonts w:cstheme="minorHAnsi"/>
          <w:color w:val="000000" w:themeColor="text1"/>
        </w:rPr>
        <w:t>-</w:t>
      </w:r>
      <w:r w:rsidR="00822429" w:rsidRPr="006C1FAB">
        <w:rPr>
          <w:rFonts w:cstheme="minorHAnsi"/>
          <w:color w:val="000000" w:themeColor="text1"/>
        </w:rPr>
        <w:t>needed</w:t>
      </w:r>
      <w:r w:rsidRPr="006C1FAB">
        <w:rPr>
          <w:rFonts w:cstheme="minorHAnsi"/>
          <w:color w:val="000000" w:themeColor="text1"/>
        </w:rPr>
        <w:t xml:space="preserve"> debate on habitat and global crises.</w:t>
      </w:r>
    </w:p>
    <w:p w14:paraId="2E5D1045" w14:textId="713C19E7" w:rsidR="009D53CE" w:rsidRPr="006C1FAB" w:rsidRDefault="00197752" w:rsidP="006C1FAB">
      <w:pPr>
        <w:spacing w:line="240" w:lineRule="auto"/>
        <w:ind w:left="-567" w:right="-851" w:firstLine="0"/>
        <w:rPr>
          <w:color w:val="000000" w:themeColor="text1"/>
        </w:rPr>
      </w:pPr>
      <w:r w:rsidRPr="006C1FAB">
        <w:rPr>
          <w:color w:val="000000" w:themeColor="text1"/>
        </w:rPr>
        <w:t xml:space="preserve">The objective of this article is to analyse the existing differences in the spread of COVID-19 between small cities and its evolution with respect to the rest of the Galician territory. To achieve this objective, we have analysed municipalities of </w:t>
      </w:r>
      <w:r w:rsidR="00C75E7A" w:rsidRPr="006C1FAB">
        <w:rPr>
          <w:color w:val="000000" w:themeColor="text1"/>
        </w:rPr>
        <w:t xml:space="preserve">between </w:t>
      </w:r>
      <w:r w:rsidRPr="006C1FAB">
        <w:rPr>
          <w:color w:val="000000" w:themeColor="text1"/>
        </w:rPr>
        <w:t xml:space="preserve">5,000 to 20,000 inhabitants, which correspond to the administrative boundary </w:t>
      </w:r>
      <w:r w:rsidR="00822429" w:rsidRPr="006C1FAB">
        <w:rPr>
          <w:color w:val="000000" w:themeColor="text1"/>
        </w:rPr>
        <w:t>where the</w:t>
      </w:r>
      <w:r w:rsidRPr="006C1FAB">
        <w:rPr>
          <w:color w:val="000000" w:themeColor="text1"/>
        </w:rPr>
        <w:t xml:space="preserve"> category of small cities</w:t>
      </w:r>
      <w:r w:rsidR="00822429" w:rsidRPr="006C1FAB">
        <w:rPr>
          <w:color w:val="000000" w:themeColor="text1"/>
        </w:rPr>
        <w:t xml:space="preserve"> is included</w:t>
      </w:r>
      <w:r w:rsidRPr="006C1FAB">
        <w:rPr>
          <w:color w:val="000000" w:themeColor="text1"/>
        </w:rPr>
        <w:t>. Indeed, when using the demographic value as a delimiter of the territory, these figures can be translated into very different population densities between the groups of municipalities, this being one of the factors that has been shown to be relevant in the transmission of COVID-19. Therefore, in this work, we do not intend to provide new evidence on the effects of density as we did in previous works</w:t>
      </w:r>
      <w:r w:rsidRPr="006C1FAB">
        <w:rPr>
          <w:rStyle w:val="Refdenotaalpie"/>
          <w:color w:val="000000" w:themeColor="text1"/>
        </w:rPr>
        <w:footnoteReference w:id="6"/>
      </w:r>
      <w:r w:rsidRPr="006C1FAB">
        <w:rPr>
          <w:color w:val="000000" w:themeColor="text1"/>
        </w:rPr>
        <w:t xml:space="preserve"> but, understanding that this is a relevant factor in the comparison between urban and rural areas, we will analyse whether there are other elements that may have contributed to the differences observed between the groups of municipalities. In this sense, the interactions of the populations of rural areas, both in frequency and intensity, may be different from those of urban areas and surely </w:t>
      </w:r>
      <w:proofErr w:type="gramStart"/>
      <w:r w:rsidRPr="006C1FAB">
        <w:rPr>
          <w:color w:val="000000" w:themeColor="text1"/>
        </w:rPr>
        <w:t>had an effect on</w:t>
      </w:r>
      <w:proofErr w:type="gramEnd"/>
      <w:r w:rsidRPr="006C1FAB">
        <w:rPr>
          <w:color w:val="000000" w:themeColor="text1"/>
        </w:rPr>
        <w:t xml:space="preserve"> the first contagions of the virus in the different types of municipalities and the speed of its propagation. Therefore, once the behaviour and mobility patterns prior to the confinement are restored, medium size cities and rural areas to a greater extent, could still be at risk of suffering from COVID-19.</w:t>
      </w:r>
    </w:p>
    <w:p w14:paraId="5E42405C" w14:textId="77777777" w:rsidR="006E184D" w:rsidRPr="006C1FAB" w:rsidRDefault="006E184D" w:rsidP="006C1FAB">
      <w:pPr>
        <w:spacing w:line="240" w:lineRule="auto"/>
        <w:ind w:left="-567" w:right="-851" w:firstLine="0"/>
        <w:rPr>
          <w:color w:val="000000" w:themeColor="text1"/>
          <w:lang w:val="en-US"/>
        </w:rPr>
      </w:pPr>
      <w:r w:rsidRPr="006C1FAB">
        <w:rPr>
          <w:color w:val="000000" w:themeColor="text1"/>
          <w:lang w:val="en"/>
        </w:rPr>
        <w:lastRenderedPageBreak/>
        <w:t>The territorial idiosyncrasy of Galicia is peculiar, so it must be clear the effort made to know the influence of COVID-19 on a specific territorial scale. In this work, we focus on the study of municipalities that have 5,000 to 20,000 inhabitants, in which all the small cities in Galicia that have these demographic values are located. Anyway, we must also emphasize, to emphasize that not all the intermediate municipalities of Galicia have some small city. In fact, there are municipalities that exceed 5,000 inhabitants, but this volume of population is scattered by a dozen population entities, so we do not find any small city in that municipality. However, these exceptions do not weaken the need and interest in knowing and studying how the pandemic behaved in the medium-sized municipalities and small cities of Galicia.</w:t>
      </w:r>
    </w:p>
    <w:p w14:paraId="2EABECC7" w14:textId="77777777" w:rsidR="006E184D" w:rsidRPr="006C1FAB" w:rsidRDefault="006E184D" w:rsidP="006C1FAB">
      <w:pPr>
        <w:spacing w:line="240" w:lineRule="auto"/>
        <w:ind w:left="-567" w:right="-851" w:firstLine="0"/>
        <w:rPr>
          <w:color w:val="000000" w:themeColor="text1"/>
          <w:lang w:val="en-US"/>
        </w:rPr>
      </w:pPr>
    </w:p>
    <w:p w14:paraId="6E5024F4" w14:textId="07420242" w:rsidR="009D53CE" w:rsidRPr="006C1FAB" w:rsidRDefault="00197752" w:rsidP="006C1FAB">
      <w:pPr>
        <w:pStyle w:val="P68B1DB1-Normal4"/>
        <w:spacing w:line="240" w:lineRule="auto"/>
        <w:ind w:left="-567" w:right="-851" w:firstLine="0"/>
        <w:rPr>
          <w:color w:val="000000" w:themeColor="text1"/>
        </w:rPr>
      </w:pPr>
      <w:r w:rsidRPr="006C1FAB">
        <w:rPr>
          <w:b w:val="0"/>
          <w:i w:val="0"/>
          <w:color w:val="000000" w:themeColor="text1"/>
        </w:rPr>
        <w:t>2.</w:t>
      </w:r>
      <w:r w:rsidRPr="006C1FAB">
        <w:rPr>
          <w:color w:val="000000" w:themeColor="text1"/>
        </w:rPr>
        <w:t xml:space="preserve"> </w:t>
      </w:r>
      <w:r w:rsidRPr="006C1FAB">
        <w:rPr>
          <w:b w:val="0"/>
          <w:color w:val="000000" w:themeColor="text1"/>
        </w:rPr>
        <w:t>Material and methods</w:t>
      </w:r>
    </w:p>
    <w:p w14:paraId="77E428AF" w14:textId="7B9E697E" w:rsidR="009D53CE" w:rsidRPr="006C1FAB" w:rsidRDefault="00197752" w:rsidP="006C1FAB">
      <w:pPr>
        <w:pStyle w:val="P68B1DB1-Normal5"/>
        <w:shd w:val="clear" w:color="auto" w:fill="FFFFFF" w:themeFill="background1"/>
        <w:spacing w:before="120" w:line="240" w:lineRule="auto"/>
        <w:ind w:left="-567" w:right="-851" w:firstLine="0"/>
        <w:rPr>
          <w:color w:val="000000" w:themeColor="text1"/>
        </w:rPr>
      </w:pPr>
      <w:r w:rsidRPr="006C1FAB">
        <w:rPr>
          <w:color w:val="000000" w:themeColor="text1"/>
        </w:rPr>
        <w:t>This study focuse</w:t>
      </w:r>
      <w:r w:rsidR="00444395" w:rsidRPr="006C1FAB">
        <w:rPr>
          <w:color w:val="000000" w:themeColor="text1"/>
        </w:rPr>
        <w:t>s</w:t>
      </w:r>
      <w:r w:rsidRPr="006C1FAB">
        <w:rPr>
          <w:color w:val="000000" w:themeColor="text1"/>
        </w:rPr>
        <w:t xml:space="preserve"> on the first wave of the COVID-19 pandemic, </w:t>
      </w:r>
      <w:r w:rsidR="00DE12FC" w:rsidRPr="006C1FAB">
        <w:rPr>
          <w:color w:val="000000" w:themeColor="text1"/>
        </w:rPr>
        <w:t xml:space="preserve">including </w:t>
      </w:r>
      <w:r w:rsidRPr="006C1FAB">
        <w:rPr>
          <w:color w:val="000000" w:themeColor="text1"/>
        </w:rPr>
        <w:t xml:space="preserve">uncontaminated, </w:t>
      </w:r>
      <w:proofErr w:type="gramStart"/>
      <w:r w:rsidRPr="006C1FAB">
        <w:rPr>
          <w:color w:val="000000" w:themeColor="text1"/>
        </w:rPr>
        <w:t>verified</w:t>
      </w:r>
      <w:proofErr w:type="gramEnd"/>
      <w:r w:rsidRPr="006C1FAB">
        <w:rPr>
          <w:color w:val="000000" w:themeColor="text1"/>
        </w:rPr>
        <w:t xml:space="preserve"> and detailed data of each </w:t>
      </w:r>
      <w:r w:rsidR="00CE1692" w:rsidRPr="006C1FAB">
        <w:rPr>
          <w:color w:val="000000" w:themeColor="text1"/>
        </w:rPr>
        <w:t>person</w:t>
      </w:r>
      <w:r w:rsidRPr="006C1FAB">
        <w:rPr>
          <w:color w:val="000000" w:themeColor="text1"/>
        </w:rPr>
        <w:t xml:space="preserve"> infected by COVID-19 in Galicia. Our data contain individual and precise information on each infected person, including their physical address</w:t>
      </w:r>
      <w:r w:rsidR="00444395" w:rsidRPr="006C1FAB">
        <w:rPr>
          <w:color w:val="000000" w:themeColor="text1"/>
        </w:rPr>
        <w:t xml:space="preserve"> and </w:t>
      </w:r>
      <w:r w:rsidRPr="006C1FAB">
        <w:rPr>
          <w:color w:val="000000" w:themeColor="text1"/>
        </w:rPr>
        <w:t xml:space="preserve">show a very precise and detailed estimate of the actual transmission of the virus in this region. This information was provided to understand the spatial dynamics and impact of the pandemic, </w:t>
      </w:r>
      <w:proofErr w:type="gramStart"/>
      <w:r w:rsidRPr="006C1FAB">
        <w:rPr>
          <w:color w:val="000000" w:themeColor="text1"/>
        </w:rPr>
        <w:t>in order to</w:t>
      </w:r>
      <w:proofErr w:type="gramEnd"/>
      <w:r w:rsidRPr="006C1FAB">
        <w:rPr>
          <w:color w:val="000000" w:themeColor="text1"/>
        </w:rPr>
        <w:t xml:space="preserve"> predict its future behaviour and be able to plan ahead by taking the right decisions at all times.</w:t>
      </w:r>
      <w:r w:rsidR="006C1FAB">
        <w:rPr>
          <w:color w:val="000000" w:themeColor="text1"/>
        </w:rPr>
        <w:t xml:space="preserve"> </w:t>
      </w:r>
      <w:r w:rsidR="00444395" w:rsidRPr="006C1FAB">
        <w:rPr>
          <w:color w:val="000000" w:themeColor="text1"/>
        </w:rPr>
        <w:t>O</w:t>
      </w:r>
      <w:r w:rsidRPr="006C1FAB">
        <w:rPr>
          <w:color w:val="000000" w:themeColor="text1"/>
        </w:rPr>
        <w:t xml:space="preserve">ur maps were used as a fundamental tool to control the pandemic and evaluate subsequent measures identifying the spatial behaviour of the virus. For this, various strategies for the visualisation and mapping of the data </w:t>
      </w:r>
      <w:r w:rsidR="00444395" w:rsidRPr="006C1FAB">
        <w:rPr>
          <w:color w:val="000000" w:themeColor="text1"/>
        </w:rPr>
        <w:t>were</w:t>
      </w:r>
      <w:r w:rsidRPr="006C1FAB">
        <w:rPr>
          <w:color w:val="000000" w:themeColor="text1"/>
        </w:rPr>
        <w:t xml:space="preserve"> developed. A series of aspects</w:t>
      </w:r>
      <w:r w:rsidR="00C614E9" w:rsidRPr="006C1FAB">
        <w:rPr>
          <w:color w:val="000000" w:themeColor="text1"/>
        </w:rPr>
        <w:t xml:space="preserve"> were </w:t>
      </w:r>
      <w:proofErr w:type="gramStart"/>
      <w:r w:rsidR="00C614E9" w:rsidRPr="006C1FAB">
        <w:rPr>
          <w:color w:val="000000" w:themeColor="text1"/>
        </w:rPr>
        <w:t>taken into account</w:t>
      </w:r>
      <w:proofErr w:type="gramEnd"/>
      <w:r w:rsidRPr="006C1FAB">
        <w:rPr>
          <w:color w:val="000000" w:themeColor="text1"/>
        </w:rPr>
        <w:t xml:space="preserve"> including multiscale analysis, data aggregation or responsible use of data</w:t>
      </w:r>
      <w:r w:rsidRPr="006C1FAB">
        <w:rPr>
          <w:rStyle w:val="Refdenotaalpie"/>
          <w:color w:val="000000" w:themeColor="text1"/>
        </w:rPr>
        <w:footnoteReference w:id="7"/>
      </w:r>
      <w:r w:rsidRPr="006C1FAB">
        <w:rPr>
          <w:color w:val="000000" w:themeColor="text1"/>
        </w:rPr>
        <w:t>.</w:t>
      </w:r>
    </w:p>
    <w:p w14:paraId="06F9AD2D" w14:textId="22D694F6" w:rsidR="009D53CE" w:rsidRPr="006C1FAB" w:rsidRDefault="00197752" w:rsidP="006C1FAB">
      <w:pPr>
        <w:pStyle w:val="P68B1DB1-Normal5"/>
        <w:shd w:val="clear" w:color="auto" w:fill="FFFFFF" w:themeFill="background1"/>
        <w:spacing w:before="120" w:line="240" w:lineRule="auto"/>
        <w:ind w:left="-567" w:right="-851" w:firstLine="0"/>
        <w:rPr>
          <w:color w:val="000000" w:themeColor="text1"/>
        </w:rPr>
      </w:pPr>
      <w:r w:rsidRPr="006C1FAB">
        <w:rPr>
          <w:color w:val="000000" w:themeColor="text1"/>
        </w:rPr>
        <w:t xml:space="preserve">The review, analysis, and interpretation of these maps should </w:t>
      </w:r>
      <w:r w:rsidR="00C614E9" w:rsidRPr="006C1FAB">
        <w:rPr>
          <w:color w:val="000000" w:themeColor="text1"/>
        </w:rPr>
        <w:t xml:space="preserve">help </w:t>
      </w:r>
      <w:r w:rsidRPr="006C1FAB">
        <w:rPr>
          <w:color w:val="000000" w:themeColor="text1"/>
        </w:rPr>
        <w:t>decision-making by health authorities.</w:t>
      </w:r>
    </w:p>
    <w:p w14:paraId="33754488" w14:textId="6B8DB86F" w:rsidR="009D53CE" w:rsidRPr="006C1FAB" w:rsidRDefault="00197752" w:rsidP="006C1FAB">
      <w:pPr>
        <w:pStyle w:val="P68B1DB1-Normal5"/>
        <w:shd w:val="clear" w:color="auto" w:fill="FFFFFF" w:themeFill="background1"/>
        <w:spacing w:before="120" w:line="240" w:lineRule="auto"/>
        <w:ind w:left="-567" w:right="-851" w:firstLine="0"/>
        <w:rPr>
          <w:color w:val="000000" w:themeColor="text1"/>
        </w:rPr>
      </w:pPr>
      <w:r w:rsidRPr="006C1FAB">
        <w:rPr>
          <w:color w:val="000000" w:themeColor="text1"/>
        </w:rPr>
        <w:t>The dataset contains information related to all individual cases reported during the first wave of the pandemic, which ranges from 1 March to 15 July 2020. This information was officially transferred to us by the Galician Health Service (SERGAS), the</w:t>
      </w:r>
      <w:r w:rsidR="00E90396" w:rsidRPr="006C1FAB">
        <w:rPr>
          <w:color w:val="000000" w:themeColor="text1"/>
        </w:rPr>
        <w:t xml:space="preserve"> local</w:t>
      </w:r>
      <w:r w:rsidRPr="006C1FAB">
        <w:rPr>
          <w:color w:val="000000" w:themeColor="text1"/>
        </w:rPr>
        <w:t xml:space="preserve"> health authority. This was possible thanks to an urgent public competitive call, funded by the Galician Innovation Agency (GAIN) of the </w:t>
      </w:r>
      <w:proofErr w:type="spellStart"/>
      <w:r w:rsidRPr="006C1FAB">
        <w:rPr>
          <w:color w:val="000000" w:themeColor="text1"/>
        </w:rPr>
        <w:t>Xunta</w:t>
      </w:r>
      <w:proofErr w:type="spellEnd"/>
      <w:r w:rsidRPr="006C1FAB">
        <w:rPr>
          <w:color w:val="000000" w:themeColor="text1"/>
        </w:rPr>
        <w:t xml:space="preserve"> de Galicia </w:t>
      </w:r>
      <w:r w:rsidR="00C614E9" w:rsidRPr="006C1FAB">
        <w:rPr>
          <w:color w:val="000000" w:themeColor="text1"/>
        </w:rPr>
        <w:t xml:space="preserve">in </w:t>
      </w:r>
      <w:r w:rsidRPr="006C1FAB">
        <w:rPr>
          <w:color w:val="000000" w:themeColor="text1"/>
        </w:rPr>
        <w:t xml:space="preserve">March 2020, inviting the entire scientific community (public and private) to submit project proposals to "fight" COVID-19. </w:t>
      </w:r>
      <w:r w:rsidR="00C614E9" w:rsidRPr="006C1FAB">
        <w:rPr>
          <w:color w:val="000000" w:themeColor="text1"/>
        </w:rPr>
        <w:t>As a result, t</w:t>
      </w:r>
      <w:r w:rsidRPr="006C1FAB">
        <w:rPr>
          <w:color w:val="000000" w:themeColor="text1"/>
        </w:rPr>
        <w:t xml:space="preserve">he project "The risk mapping of COVID-19 in urban and rural areas of </w:t>
      </w:r>
      <w:r w:rsidRPr="006C1FAB">
        <w:rPr>
          <w:color w:val="000000" w:themeColor="text1"/>
        </w:rPr>
        <w:lastRenderedPageBreak/>
        <w:t xml:space="preserve">Galicia" was selected, the purpose of which was to carry out a series of territorial analysis reports of the pandemic and hand them </w:t>
      </w:r>
      <w:r w:rsidR="00E27491" w:rsidRPr="006C1FAB">
        <w:rPr>
          <w:color w:val="000000" w:themeColor="text1"/>
        </w:rPr>
        <w:t>over</w:t>
      </w:r>
      <w:r w:rsidRPr="006C1FAB">
        <w:rPr>
          <w:color w:val="000000" w:themeColor="text1"/>
        </w:rPr>
        <w:t xml:space="preserve"> to SERGAS. Part of this project is the basis of this article. The data to be analysed were transferred to us after signing a confidentiality agreement.</w:t>
      </w:r>
    </w:p>
    <w:p w14:paraId="34D2DD30" w14:textId="6AD6CC1A" w:rsidR="009D53CE" w:rsidRPr="006C1FAB" w:rsidRDefault="00197752" w:rsidP="006C1FAB">
      <w:pPr>
        <w:pStyle w:val="P68B1DB1-Normal5"/>
        <w:shd w:val="clear" w:color="auto" w:fill="FFFFFF" w:themeFill="background1"/>
        <w:spacing w:before="120" w:line="240" w:lineRule="auto"/>
        <w:ind w:left="-567" w:right="-851" w:firstLine="0"/>
        <w:rPr>
          <w:color w:val="000000" w:themeColor="text1"/>
        </w:rPr>
      </w:pPr>
      <w:r w:rsidRPr="006C1FAB">
        <w:rPr>
          <w:color w:val="000000" w:themeColor="text1"/>
        </w:rPr>
        <w:t>This dataset, initially 11,070 records, included data related to each patient, such as main details, place of residence and physical address, and some relevant time data that allowed a complete monitoring of the disease for each reported case (</w:t>
      </w:r>
      <w:r w:rsidR="00C614E9" w:rsidRPr="006C1FAB">
        <w:rPr>
          <w:color w:val="000000" w:themeColor="text1"/>
        </w:rPr>
        <w:t>i.e.,</w:t>
      </w:r>
      <w:r w:rsidRPr="006C1FAB">
        <w:rPr>
          <w:color w:val="000000" w:themeColor="text1"/>
        </w:rPr>
        <w:t xml:space="preserve"> admission</w:t>
      </w:r>
      <w:r w:rsidR="00C614E9" w:rsidRPr="006C1FAB">
        <w:rPr>
          <w:color w:val="000000" w:themeColor="text1"/>
        </w:rPr>
        <w:t xml:space="preserve">, </w:t>
      </w:r>
      <w:r w:rsidRPr="006C1FAB">
        <w:rPr>
          <w:color w:val="000000" w:themeColor="text1"/>
        </w:rPr>
        <w:t xml:space="preserve">death at home/hospital). Due to the mobility restrictions during the confinement, the tracking of cases and outbreaks </w:t>
      </w:r>
      <w:r w:rsidR="00C614E9" w:rsidRPr="006C1FAB">
        <w:rPr>
          <w:color w:val="000000" w:themeColor="text1"/>
        </w:rPr>
        <w:t>was</w:t>
      </w:r>
      <w:r w:rsidRPr="006C1FAB">
        <w:rPr>
          <w:color w:val="000000" w:themeColor="text1"/>
        </w:rPr>
        <w:t xml:space="preserve"> limited in a spatiotemporal way because the health authorities recorded dates related to the first symptoms and the results of the tests. The official address of each reported case allows us to obtain a very precise graph of the real spatial behaviour of the virus.</w:t>
      </w:r>
    </w:p>
    <w:p w14:paraId="187C54BB" w14:textId="0C5CF931" w:rsidR="009D53CE" w:rsidRPr="006C1FAB" w:rsidRDefault="00197752" w:rsidP="006C1FAB">
      <w:pPr>
        <w:pStyle w:val="P68B1DB1-Normal5"/>
        <w:shd w:val="clear" w:color="auto" w:fill="FFFFFF" w:themeFill="background1"/>
        <w:spacing w:before="120" w:line="240" w:lineRule="auto"/>
        <w:ind w:left="-567" w:right="-851" w:firstLine="0"/>
        <w:rPr>
          <w:color w:val="000000" w:themeColor="text1"/>
        </w:rPr>
      </w:pPr>
      <w:r w:rsidRPr="006C1FAB">
        <w:rPr>
          <w:color w:val="000000" w:themeColor="text1"/>
        </w:rPr>
        <w:t>The raw dataset was initially checked for inconsistencies</w:t>
      </w:r>
      <w:r w:rsidR="00946629" w:rsidRPr="006C1FAB">
        <w:rPr>
          <w:color w:val="000000" w:themeColor="text1"/>
        </w:rPr>
        <w:t xml:space="preserve"> and </w:t>
      </w:r>
      <w:r w:rsidRPr="006C1FAB">
        <w:rPr>
          <w:color w:val="000000" w:themeColor="text1"/>
        </w:rPr>
        <w:t>was prepared and cleaned by removing duplicates</w:t>
      </w:r>
      <w:r w:rsidR="00946629" w:rsidRPr="006C1FAB">
        <w:rPr>
          <w:color w:val="000000" w:themeColor="text1"/>
        </w:rPr>
        <w:t>, deleting</w:t>
      </w:r>
      <w:r w:rsidRPr="006C1FAB">
        <w:rPr>
          <w:color w:val="000000" w:themeColor="text1"/>
        </w:rPr>
        <w:t xml:space="preserve"> 581 records. After that, we standardised the format of the remaining records. All the study and cartographic representations were carried out </w:t>
      </w:r>
      <w:r w:rsidR="00946629" w:rsidRPr="006C1FAB">
        <w:rPr>
          <w:color w:val="000000" w:themeColor="text1"/>
        </w:rPr>
        <w:t>using</w:t>
      </w:r>
      <w:r w:rsidRPr="006C1FAB">
        <w:rPr>
          <w:color w:val="000000" w:themeColor="text1"/>
        </w:rPr>
        <w:t xml:space="preserve"> ESRI technology (ArcGIS Pro and ArcGIS Online, </w:t>
      </w:r>
      <w:r w:rsidR="00E27491" w:rsidRPr="006C1FAB">
        <w:rPr>
          <w:color w:val="000000" w:themeColor="text1"/>
        </w:rPr>
        <w:t>primarily</w:t>
      </w:r>
      <w:r w:rsidRPr="006C1FAB">
        <w:rPr>
          <w:color w:val="000000" w:themeColor="text1"/>
        </w:rPr>
        <w:t>). Finally, a complete data set consisting of 10,583 records was correctly geolocated on a map.</w:t>
      </w:r>
    </w:p>
    <w:p w14:paraId="74CB38B0" w14:textId="4428C9F9" w:rsidR="009D53CE" w:rsidRPr="006C1FAB" w:rsidRDefault="00197752" w:rsidP="006C1FAB">
      <w:pPr>
        <w:pStyle w:val="P68B1DB1-Normal5"/>
        <w:shd w:val="clear" w:color="auto" w:fill="FFFFFF" w:themeFill="background1"/>
        <w:spacing w:before="120" w:line="240" w:lineRule="auto"/>
        <w:ind w:left="-567" w:right="-851" w:firstLine="0"/>
        <w:rPr>
          <w:color w:val="000000" w:themeColor="text1"/>
        </w:rPr>
      </w:pPr>
      <w:r w:rsidRPr="006C1FAB">
        <w:rPr>
          <w:color w:val="000000" w:themeColor="text1"/>
        </w:rPr>
        <w:t xml:space="preserve">In the present work, we use the information that we have on each of those affected </w:t>
      </w:r>
      <w:r w:rsidR="00574B78" w:rsidRPr="006C1FAB">
        <w:rPr>
          <w:color w:val="000000" w:themeColor="text1"/>
        </w:rPr>
        <w:t>during the first wave of</w:t>
      </w:r>
      <w:r w:rsidRPr="006C1FAB">
        <w:rPr>
          <w:color w:val="000000" w:themeColor="text1"/>
        </w:rPr>
        <w:t xml:space="preserve"> the pandemic, to understand, analyse and diagnose COVID- 19 in the small towns of Galicia.</w:t>
      </w:r>
    </w:p>
    <w:p w14:paraId="334A9EF7" w14:textId="77777777" w:rsidR="009D53CE" w:rsidRPr="006C1FAB" w:rsidRDefault="009D53CE" w:rsidP="006C1FAB">
      <w:pPr>
        <w:spacing w:line="240" w:lineRule="auto"/>
        <w:ind w:left="-567" w:right="-851" w:firstLine="0"/>
        <w:rPr>
          <w:color w:val="000000" w:themeColor="text1"/>
        </w:rPr>
      </w:pPr>
    </w:p>
    <w:p w14:paraId="50C13A47" w14:textId="77777777" w:rsidR="009D53CE" w:rsidRPr="006C1FAB" w:rsidRDefault="00197752" w:rsidP="006C1FAB">
      <w:pPr>
        <w:pStyle w:val="P68B1DB1-Normal4"/>
        <w:spacing w:line="240" w:lineRule="auto"/>
        <w:ind w:left="-567" w:right="-851" w:firstLine="0"/>
        <w:rPr>
          <w:color w:val="000000" w:themeColor="text1"/>
        </w:rPr>
      </w:pPr>
      <w:r w:rsidRPr="006C1FAB">
        <w:rPr>
          <w:b w:val="0"/>
          <w:i w:val="0"/>
          <w:color w:val="000000" w:themeColor="text1"/>
        </w:rPr>
        <w:t>3.</w:t>
      </w:r>
      <w:r w:rsidRPr="006C1FAB">
        <w:rPr>
          <w:color w:val="000000" w:themeColor="text1"/>
        </w:rPr>
        <w:t xml:space="preserve"> </w:t>
      </w:r>
      <w:r w:rsidRPr="006C1FAB">
        <w:rPr>
          <w:b w:val="0"/>
          <w:color w:val="000000" w:themeColor="text1"/>
        </w:rPr>
        <w:t>Study area and territorial behaviour of the pandemic</w:t>
      </w:r>
    </w:p>
    <w:p w14:paraId="1FE599C0" w14:textId="282CFF6D" w:rsidR="009D53CE" w:rsidRPr="006C1FAB" w:rsidRDefault="00197752" w:rsidP="006C1FAB">
      <w:pPr>
        <w:spacing w:line="240" w:lineRule="auto"/>
        <w:ind w:left="-567" w:right="-851" w:firstLine="0"/>
        <w:rPr>
          <w:rFonts w:cstheme="minorHAnsi"/>
          <w:color w:val="000000" w:themeColor="text1"/>
        </w:rPr>
      </w:pPr>
      <w:r w:rsidRPr="006C1FAB">
        <w:rPr>
          <w:rFonts w:cstheme="minorHAnsi"/>
          <w:color w:val="000000" w:themeColor="text1"/>
        </w:rPr>
        <w:t xml:space="preserve">The region </w:t>
      </w:r>
      <w:r w:rsidR="00574B78" w:rsidRPr="006C1FAB">
        <w:rPr>
          <w:rFonts w:cstheme="minorHAnsi"/>
          <w:color w:val="000000" w:themeColor="text1"/>
        </w:rPr>
        <w:t xml:space="preserve">of Galicia </w:t>
      </w:r>
      <w:proofErr w:type="gramStart"/>
      <w:r w:rsidRPr="006C1FAB">
        <w:rPr>
          <w:rFonts w:cstheme="minorHAnsi"/>
          <w:color w:val="000000" w:themeColor="text1"/>
        </w:rPr>
        <w:t>is located in</w:t>
      </w:r>
      <w:proofErr w:type="gramEnd"/>
      <w:r w:rsidRPr="006C1FAB">
        <w:rPr>
          <w:rFonts w:cstheme="minorHAnsi"/>
          <w:color w:val="000000" w:themeColor="text1"/>
        </w:rPr>
        <w:t xml:space="preserve"> the northwest of Spain. It has an area of 29,575 square kilometres and 2.7 million inhabitants. Its population density is 91.4 people per square kilometre, only two points lower than the average in Spain. Administratively, the region is divided into 313 municipalities distributed in 4 provinces (Figure 1.a). The two provinces located further to the west concentrate most of the population, reaching average densities above 140.9 in A </w:t>
      </w:r>
      <w:proofErr w:type="spellStart"/>
      <w:r w:rsidRPr="006C1FAB">
        <w:rPr>
          <w:rFonts w:cstheme="minorHAnsi"/>
          <w:color w:val="000000" w:themeColor="text1"/>
        </w:rPr>
        <w:t>Coruña</w:t>
      </w:r>
      <w:proofErr w:type="spellEnd"/>
      <w:r w:rsidRPr="006C1FAB">
        <w:rPr>
          <w:rFonts w:cstheme="minorHAnsi"/>
          <w:color w:val="000000" w:themeColor="text1"/>
        </w:rPr>
        <w:t xml:space="preserve"> and 209.7 inhabitants per square kilometre in Pontevedra</w:t>
      </w:r>
      <w:r w:rsidRPr="006C1FAB">
        <w:rPr>
          <w:rStyle w:val="Refdenotaalpie"/>
          <w:rFonts w:cstheme="minorHAnsi"/>
          <w:color w:val="000000" w:themeColor="text1"/>
        </w:rPr>
        <w:footnoteReference w:id="8"/>
      </w:r>
      <w:r w:rsidRPr="006C1FAB">
        <w:rPr>
          <w:rFonts w:cstheme="minorHAnsi"/>
          <w:color w:val="000000" w:themeColor="text1"/>
        </w:rPr>
        <w:t>.</w:t>
      </w:r>
    </w:p>
    <w:p w14:paraId="553DEE9D" w14:textId="057394DB" w:rsidR="006C1FAB" w:rsidRDefault="00197752" w:rsidP="006C1FAB">
      <w:pPr>
        <w:spacing w:line="240" w:lineRule="auto"/>
        <w:ind w:left="-567" w:right="-851" w:firstLine="0"/>
        <w:rPr>
          <w:rFonts w:cstheme="minorHAnsi"/>
          <w:color w:val="000000" w:themeColor="text1"/>
        </w:rPr>
      </w:pPr>
      <w:r w:rsidRPr="006C1FAB">
        <w:rPr>
          <w:rFonts w:cstheme="minorHAnsi"/>
          <w:color w:val="000000" w:themeColor="text1"/>
        </w:rPr>
        <w:t xml:space="preserve">Increasing levels of urbanisation took place </w:t>
      </w:r>
      <w:r w:rsidR="003D3A6F" w:rsidRPr="006C1FAB">
        <w:rPr>
          <w:rFonts w:cstheme="minorHAnsi"/>
          <w:color w:val="000000" w:themeColor="text1"/>
        </w:rPr>
        <w:t>in the</w:t>
      </w:r>
      <w:r w:rsidRPr="006C1FAB">
        <w:rPr>
          <w:rFonts w:cstheme="minorHAnsi"/>
          <w:color w:val="000000" w:themeColor="text1"/>
        </w:rPr>
        <w:t xml:space="preserve"> 1960</w:t>
      </w:r>
      <w:r w:rsidR="003D3A6F" w:rsidRPr="006C1FAB">
        <w:rPr>
          <w:rFonts w:cstheme="minorHAnsi"/>
          <w:color w:val="000000" w:themeColor="text1"/>
        </w:rPr>
        <w:t>s</w:t>
      </w:r>
      <w:r w:rsidRPr="006C1FAB">
        <w:rPr>
          <w:rFonts w:cstheme="minorHAnsi"/>
          <w:color w:val="000000" w:themeColor="text1"/>
        </w:rPr>
        <w:t xml:space="preserve"> and 1980</w:t>
      </w:r>
      <w:r w:rsidR="003D3A6F" w:rsidRPr="006C1FAB">
        <w:rPr>
          <w:rFonts w:cstheme="minorHAnsi"/>
          <w:color w:val="000000" w:themeColor="text1"/>
        </w:rPr>
        <w:t>s</w:t>
      </w:r>
      <w:r w:rsidRPr="006C1FAB">
        <w:rPr>
          <w:rFonts w:cstheme="minorHAnsi"/>
          <w:color w:val="000000" w:themeColor="text1"/>
        </w:rPr>
        <w:t xml:space="preserve"> and rural depopulation has contributed to a spatial concentration in some areas of this region. Today, most of the population, economic activity and political power are </w:t>
      </w:r>
      <w:r w:rsidRPr="006C1FAB">
        <w:rPr>
          <w:rFonts w:cstheme="minorHAnsi"/>
          <w:color w:val="000000" w:themeColor="text1"/>
        </w:rPr>
        <w:lastRenderedPageBreak/>
        <w:t>concentrated in a very small number of cities.</w:t>
      </w:r>
      <w:r w:rsidRPr="006C1FAB">
        <w:rPr>
          <w:rStyle w:val="Refdenotaalpie"/>
          <w:rFonts w:cstheme="minorHAnsi"/>
          <w:color w:val="000000" w:themeColor="text1"/>
        </w:rPr>
        <w:footnoteReference w:id="9"/>
      </w:r>
      <w:r w:rsidRPr="006C1FAB">
        <w:rPr>
          <w:rFonts w:cstheme="minorHAnsi"/>
          <w:color w:val="000000" w:themeColor="text1"/>
        </w:rPr>
        <w:fldChar w:fldCharType="begin" w:fldLock="1"/>
      </w:r>
      <w:r w:rsidRPr="006C1FAB">
        <w:rPr>
          <w:rFonts w:cstheme="minorHAnsi"/>
          <w:color w:val="000000" w:themeColor="text1"/>
        </w:rPr>
        <w:instrText>ADDIN CSL_CITATION {"citationItems":[{"id":"ITEM-1","itemData":{"author":[{"dropping-particle":"","family":"Lois-González","given":"Rubén","non-dropping-particle":"","parse-names":false,"suffix":""}],"container-title":"Dela","id":"ITEM-1","issue":"281-294","issued":{"date-parts":[["2004"]]},"title":"A model of spanish-portuguese urban growth: The atlantic axis.","type":"article-journal","volume":"21"},"uris":["http://www.mendeley.com/documents/?uuid=116d0b2b-0354-4edd-beea-9ac30450321a"]}],"mendeley":{"formattedCitation":"(Lois-González, 2004)","plainTextFormattedCitation":"(Lois-González, 2004)","previouslyFormattedCitation":"(Lois-González, 2004)"},"properties":{"noteIndex":0},"schema":"https://github.com/citation-style-language/schema/raw/master/csl-citation.json"}</w:instrText>
      </w:r>
      <w:r w:rsidRPr="006C1FAB">
        <w:rPr>
          <w:rFonts w:cstheme="minorHAnsi"/>
          <w:color w:val="000000" w:themeColor="text1"/>
        </w:rPr>
        <w:fldChar w:fldCharType="separate"/>
      </w:r>
      <w:r w:rsidRPr="006C1FAB">
        <w:rPr>
          <w:rFonts w:cstheme="minorHAnsi"/>
          <w:color w:val="000000" w:themeColor="text1"/>
        </w:rPr>
        <w:t>.</w:t>
      </w:r>
      <w:r w:rsidRPr="006C1FAB">
        <w:rPr>
          <w:rFonts w:cstheme="minorHAnsi"/>
          <w:color w:val="000000" w:themeColor="text1"/>
        </w:rPr>
        <w:fldChar w:fldCharType="end"/>
      </w:r>
      <w:r w:rsidRPr="006C1FAB">
        <w:rPr>
          <w:rFonts w:cstheme="minorHAnsi"/>
          <w:color w:val="000000" w:themeColor="text1"/>
        </w:rPr>
        <w:t xml:space="preserve"> The most important ones are found along the Atlantic Urban Axis, coinciding with the high-capacity highway (AP-9) which runs from north to south of the region. This axis links the cities of Ferrol, A </w:t>
      </w:r>
      <w:proofErr w:type="spellStart"/>
      <w:r w:rsidRPr="006C1FAB">
        <w:rPr>
          <w:rFonts w:cstheme="minorHAnsi"/>
          <w:color w:val="000000" w:themeColor="text1"/>
        </w:rPr>
        <w:t>Coruña</w:t>
      </w:r>
      <w:proofErr w:type="spellEnd"/>
      <w:r w:rsidRPr="006C1FAB">
        <w:rPr>
          <w:rFonts w:cstheme="minorHAnsi"/>
          <w:color w:val="000000" w:themeColor="text1"/>
        </w:rPr>
        <w:t xml:space="preserve">, Santiago, Pontevedra and Vigo. The most important cities are Vigo and A </w:t>
      </w:r>
      <w:proofErr w:type="spellStart"/>
      <w:r w:rsidRPr="006C1FAB">
        <w:rPr>
          <w:rFonts w:cstheme="minorHAnsi"/>
          <w:color w:val="000000" w:themeColor="text1"/>
        </w:rPr>
        <w:t>Coruña</w:t>
      </w:r>
      <w:proofErr w:type="spellEnd"/>
      <w:r w:rsidRPr="006C1FAB">
        <w:rPr>
          <w:rFonts w:cstheme="minorHAnsi"/>
          <w:color w:val="000000" w:themeColor="text1"/>
        </w:rPr>
        <w:t xml:space="preserve">, with more than 300,000 inhabitants each. Outside of this axis, we find two cities: Lugo and Ourense. These concentrate most of the economic activity in their respective provinces and both have more than 100,000 </w:t>
      </w:r>
      <w:r w:rsidR="003D3A6F" w:rsidRPr="006C1FAB">
        <w:rPr>
          <w:rFonts w:cstheme="minorHAnsi"/>
          <w:color w:val="000000" w:themeColor="text1"/>
        </w:rPr>
        <w:t>inhabitants</w:t>
      </w:r>
      <w:r w:rsidRPr="006C1FAB">
        <w:rPr>
          <w:rFonts w:cstheme="minorHAnsi"/>
          <w:color w:val="000000" w:themeColor="text1"/>
        </w:rPr>
        <w:t xml:space="preserve"> (figure 1).</w:t>
      </w:r>
      <w:r w:rsidR="006C1FAB">
        <w:rPr>
          <w:rFonts w:cstheme="minorHAnsi"/>
          <w:color w:val="000000" w:themeColor="text1"/>
        </w:rPr>
        <w:t xml:space="preserve"> </w:t>
      </w:r>
      <w:r w:rsidR="007A0FF4" w:rsidRPr="006C1FAB">
        <w:rPr>
          <w:rFonts w:cstheme="minorHAnsi"/>
          <w:color w:val="000000" w:themeColor="text1"/>
        </w:rPr>
        <w:t>The region presents a dual population pattern. The most important cities concentrate around 80% of the population and 75% of the regional GDP</w:t>
      </w:r>
      <w:r w:rsidR="007A0FF4" w:rsidRPr="006C1FAB">
        <w:rPr>
          <w:rStyle w:val="Refdenotaalpie"/>
          <w:rFonts w:cstheme="minorHAnsi"/>
          <w:color w:val="000000" w:themeColor="text1"/>
        </w:rPr>
        <w:footnoteReference w:id="10"/>
      </w:r>
      <w:r w:rsidR="007A0FF4" w:rsidRPr="006C1FAB">
        <w:rPr>
          <w:rFonts w:cstheme="minorHAnsi"/>
          <w:color w:val="000000" w:themeColor="text1"/>
        </w:rPr>
        <w:fldChar w:fldCharType="begin" w:fldLock="1"/>
      </w:r>
      <w:r w:rsidR="007A0FF4" w:rsidRPr="006C1FAB">
        <w:rPr>
          <w:rFonts w:cstheme="minorHAnsi"/>
          <w:color w:val="000000" w:themeColor="text1"/>
        </w:rPr>
        <w:instrText>ADDIN CSL_CITATION {"citationItems":[{"id":"ITEM-1","itemData":{"author":[{"dropping-particle":"","family":"Pazos Otón","given":"M.","non-dropping-particle":"","parse-names":false,"suffix":""}],"container-title":"Xeográfica","id":"ITEM-1","issued":{"date-parts":[["2003"]]},"page":"101-119","publisher":"Departamento de Xeografía. Universidade de Santiago de Compostela","publisher-place":"Santiago de Compostela","title":"El estudio geográfico de la movilidad: un análisis histórico-evolutivo","type":"chapter","volume":"3"},"uris":["http://www.mendeley.com/documents/?uuid=aba7245b-18b2-4163-a05c-36dd9728679d"]}],"mendeley":{"formattedCitation":"(Pazos Otón, 2003)","plainTextFormattedCitation":"(Pazos Otón, 2003)","previouslyFormattedCitation":"(Pazos Otón, 2003)"},"properties":{"noteIndex":0},"schema":"https://github.com/citation-style-language/schema/raw/master/csl-citation.json"}</w:instrText>
      </w:r>
      <w:r w:rsidR="007A0FF4" w:rsidRPr="006C1FAB">
        <w:rPr>
          <w:rFonts w:cstheme="minorHAnsi"/>
          <w:color w:val="000000" w:themeColor="text1"/>
        </w:rPr>
        <w:fldChar w:fldCharType="separate"/>
      </w:r>
      <w:r w:rsidR="007A0FF4" w:rsidRPr="006C1FAB">
        <w:rPr>
          <w:rFonts w:cstheme="minorHAnsi"/>
          <w:color w:val="000000" w:themeColor="text1"/>
        </w:rPr>
        <w:t>,</w:t>
      </w:r>
      <w:r w:rsidR="007A0FF4" w:rsidRPr="006C1FAB">
        <w:rPr>
          <w:rFonts w:cstheme="minorHAnsi"/>
          <w:color w:val="000000" w:themeColor="text1"/>
        </w:rPr>
        <w:fldChar w:fldCharType="end"/>
      </w:r>
      <w:r w:rsidR="007A0FF4" w:rsidRPr="006C1FAB">
        <w:rPr>
          <w:rFonts w:cstheme="minorHAnsi"/>
          <w:color w:val="000000" w:themeColor="text1"/>
        </w:rPr>
        <w:t xml:space="preserve"> while a vast part of the territory is rural and with populations in decline. This general pattern is evident at the provincial level, where the two western provinces have significant economic diversity and account for most of the population. This same demographic duality is displayed between a very dynamic coastline and a depressed inland territory.</w:t>
      </w:r>
    </w:p>
    <w:p w14:paraId="6D0D03FD" w14:textId="5AB462C4" w:rsidR="009D53CE" w:rsidRPr="006C1FAB" w:rsidRDefault="00197752" w:rsidP="006C1FAB">
      <w:pPr>
        <w:spacing w:line="240" w:lineRule="auto"/>
        <w:ind w:left="-567" w:right="-851" w:firstLine="0"/>
        <w:rPr>
          <w:rFonts w:cstheme="minorHAnsi"/>
          <w:color w:val="000000" w:themeColor="text1"/>
        </w:rPr>
      </w:pPr>
      <w:r w:rsidRPr="006C1FAB">
        <w:rPr>
          <w:color w:val="000000" w:themeColor="text1"/>
        </w:rPr>
        <w:t xml:space="preserve">This territorial structure determines the mobility patterns. On a regional scale, flows to major cities and surrounding areas predominate. Internally, a significant number of municipal </w:t>
      </w:r>
      <w:r w:rsidR="00CB4061" w:rsidRPr="006C1FAB">
        <w:rPr>
          <w:color w:val="000000" w:themeColor="text1"/>
        </w:rPr>
        <w:t xml:space="preserve">capital cities </w:t>
      </w:r>
      <w:r w:rsidR="00DF41C8" w:rsidRPr="006C1FAB">
        <w:rPr>
          <w:color w:val="000000" w:themeColor="text1"/>
        </w:rPr>
        <w:t>shape</w:t>
      </w:r>
      <w:r w:rsidRPr="006C1FAB">
        <w:rPr>
          <w:color w:val="000000" w:themeColor="text1"/>
        </w:rPr>
        <w:t xml:space="preserve"> most of the non-urban territory. Most of the mobility flows in these predominantly rural areas cover greater distances compared to urban areas.</w:t>
      </w:r>
    </w:p>
    <w:p w14:paraId="02261979" w14:textId="77777777" w:rsidR="006C1FAB" w:rsidRDefault="00197752" w:rsidP="006C1FAB">
      <w:pPr>
        <w:spacing w:line="240" w:lineRule="auto"/>
        <w:ind w:left="-567" w:right="-851" w:firstLine="0"/>
        <w:rPr>
          <w:color w:val="000000" w:themeColor="text1"/>
        </w:rPr>
      </w:pPr>
      <w:bookmarkStart w:id="0" w:name="_heading=h.8kxu70txvqkh" w:colFirst="0" w:colLast="0"/>
      <w:bookmarkEnd w:id="0"/>
      <w:r w:rsidRPr="006C1FAB">
        <w:rPr>
          <w:rFonts w:cstheme="minorHAnsi"/>
          <w:color w:val="000000" w:themeColor="text1"/>
        </w:rPr>
        <w:t>Most of these dynamics have changed dramatically since the beginning of the COVID-19 pandemic in mid-March 2020. In Spain, national authorities controlled the entire country to deal with the virus. On March 14, they adopted a harsh lockdown with strict mobility restrictions and stay-at-home orders for everyone. Work activity was reduced to very few essential activities related to human care and the purchase of essential products. Between March 30 and April 9, only essential workers were able to travel for work. Most of the businesses related to non-essential activities, as well as cultural and religious facilities, were closed. With a controlled management of the virus, this region was the first to ease mobility restrictions and return to a "new normality</w:t>
      </w:r>
      <w:r w:rsidR="00FE5F74" w:rsidRPr="006C1FAB">
        <w:rPr>
          <w:rFonts w:cstheme="minorHAnsi"/>
          <w:color w:val="000000" w:themeColor="text1"/>
        </w:rPr>
        <w:t>.</w:t>
      </w:r>
      <w:r w:rsidRPr="006C1FAB">
        <w:rPr>
          <w:rFonts w:cstheme="minorHAnsi"/>
          <w:color w:val="000000" w:themeColor="text1"/>
        </w:rPr>
        <w:t xml:space="preserve">" Regarding the management of the pandemic in Galicia, before continuing with its territorial analysis, it is necessary to highlight that, from an administrative point of view, Spain is a country that has transferred the administrative powers of fundamental services, such as health or education, to each of the autonomous regions (Galicia amongst them). Therefore, there is a high level of decentralisation of services and territorial realities, management and decision-making processes that can </w:t>
      </w:r>
      <w:r w:rsidRPr="006C1FAB">
        <w:rPr>
          <w:rFonts w:cstheme="minorHAnsi"/>
          <w:color w:val="000000" w:themeColor="text1"/>
        </w:rPr>
        <w:lastRenderedPageBreak/>
        <w:t>greatly vary on a Spanish scale</w:t>
      </w:r>
      <w:r w:rsidRPr="006C1FAB">
        <w:rPr>
          <w:rStyle w:val="Refdenotaalpie"/>
          <w:rFonts w:cstheme="minorHAnsi"/>
          <w:color w:val="000000" w:themeColor="text1"/>
        </w:rPr>
        <w:footnoteReference w:id="11"/>
      </w:r>
      <w:r w:rsidRPr="006C1FAB">
        <w:rPr>
          <w:rFonts w:cstheme="minorHAnsi"/>
          <w:color w:val="000000" w:themeColor="text1"/>
        </w:rPr>
        <w:t>.</w:t>
      </w:r>
      <w:r w:rsidRPr="006C1FAB">
        <w:rPr>
          <w:color w:val="000000" w:themeColor="text1"/>
        </w:rPr>
        <w:t>The location of these cases allows us to assess the spatial distribution of the disease and understand its spatial dynamics. Data are aggregated across municipalities and displayed on choropleth maps. The geographical spread of the virus was clearly more significant in the western sector of the Atlantic Urban Axis, especially in areas close to the main cities (figure 2).</w:t>
      </w:r>
    </w:p>
    <w:p w14:paraId="59D676FE" w14:textId="15553D87" w:rsidR="009D53CE" w:rsidRPr="006C1FAB" w:rsidRDefault="00197752" w:rsidP="006C1FAB">
      <w:pPr>
        <w:spacing w:line="240" w:lineRule="auto"/>
        <w:ind w:left="-567" w:right="-851" w:firstLine="0"/>
        <w:rPr>
          <w:rFonts w:cstheme="minorHAnsi"/>
          <w:color w:val="000000" w:themeColor="text1"/>
        </w:rPr>
      </w:pPr>
      <w:r w:rsidRPr="006C1FAB">
        <w:rPr>
          <w:color w:val="000000" w:themeColor="text1"/>
        </w:rPr>
        <w:t>Figure 2 links the number of reported cases to the total population. The reported cases are represented by proportional circles, while the total population is distributed in five defined intervals, ranging from purely rural to urban municipalities, where we will place the municipalities in which the small cities of Galicia are located. A priori, a strong spatial correlation is observed between the total population and the number of cases reported in each municipality. We also see how the peri-urban areas that surround the main cities become more significant. The reason</w:t>
      </w:r>
      <w:r w:rsidR="005F1CBA" w:rsidRPr="006C1FAB">
        <w:rPr>
          <w:color w:val="000000" w:themeColor="text1"/>
        </w:rPr>
        <w:t xml:space="preserve"> for this</w:t>
      </w:r>
      <w:r w:rsidRPr="006C1FAB">
        <w:rPr>
          <w:color w:val="000000" w:themeColor="text1"/>
        </w:rPr>
        <w:t xml:space="preserve"> is because these areas are where most of the population live (residential areas), but also where industrial activities are mainly concentrated. Therefore, these spaces have a greater dynamism based on a greater number of social interactions.</w:t>
      </w:r>
    </w:p>
    <w:p w14:paraId="06B33B2C" w14:textId="77777777" w:rsidR="009D53CE" w:rsidRPr="006C1FAB" w:rsidRDefault="009D53CE" w:rsidP="006C1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851" w:firstLine="0"/>
        <w:contextualSpacing w:val="0"/>
        <w:rPr>
          <w:rFonts w:cstheme="minorHAnsi"/>
          <w:color w:val="000000" w:themeColor="text1"/>
        </w:rPr>
      </w:pPr>
    </w:p>
    <w:p w14:paraId="139FD7A0" w14:textId="77777777" w:rsidR="009D53CE" w:rsidRPr="006C1FAB" w:rsidRDefault="00197752" w:rsidP="006C1FAB">
      <w:pPr>
        <w:pStyle w:val="P68B1DB1-Normal4"/>
        <w:spacing w:line="240" w:lineRule="auto"/>
        <w:ind w:left="-567" w:right="-851" w:firstLine="0"/>
        <w:rPr>
          <w:b w:val="0"/>
          <w:color w:val="000000" w:themeColor="text1"/>
        </w:rPr>
      </w:pPr>
      <w:r w:rsidRPr="006C1FAB">
        <w:rPr>
          <w:b w:val="0"/>
          <w:i w:val="0"/>
          <w:color w:val="000000" w:themeColor="text1"/>
        </w:rPr>
        <w:t>4.</w:t>
      </w:r>
      <w:r w:rsidRPr="006C1FAB">
        <w:rPr>
          <w:b w:val="0"/>
          <w:color w:val="000000" w:themeColor="text1"/>
        </w:rPr>
        <w:t xml:space="preserve"> Results</w:t>
      </w:r>
    </w:p>
    <w:p w14:paraId="761FD76F" w14:textId="4B0B4544" w:rsidR="009D53CE" w:rsidRPr="006C1FAB" w:rsidRDefault="00197752" w:rsidP="006C1FAB">
      <w:pPr>
        <w:spacing w:line="240" w:lineRule="auto"/>
        <w:ind w:left="-567" w:right="-851" w:firstLine="0"/>
        <w:rPr>
          <w:color w:val="000000" w:themeColor="text1"/>
        </w:rPr>
      </w:pPr>
      <w:r w:rsidRPr="006C1FAB">
        <w:rPr>
          <w:color w:val="000000" w:themeColor="text1"/>
        </w:rPr>
        <w:t>The objective of this work is to verify how the pandemic behaved in the municipalities where the small cities of Galicia are locate</w:t>
      </w:r>
      <w:r w:rsidR="008B6B82" w:rsidRPr="006C1FAB">
        <w:rPr>
          <w:color w:val="000000" w:themeColor="text1"/>
        </w:rPr>
        <w:t>d, that is, t</w:t>
      </w:r>
      <w:r w:rsidRPr="006C1FAB">
        <w:rPr>
          <w:color w:val="000000" w:themeColor="text1"/>
        </w:rPr>
        <w:t>hose with a population ranging from 5,000 to 20,000 inhabitants</w:t>
      </w:r>
      <w:r w:rsidR="008B6B82" w:rsidRPr="006C1FAB">
        <w:rPr>
          <w:color w:val="000000" w:themeColor="text1"/>
        </w:rPr>
        <w:t xml:space="preserve">, </w:t>
      </w:r>
      <w:proofErr w:type="gramStart"/>
      <w:r w:rsidR="008B6B82" w:rsidRPr="006C1FAB">
        <w:rPr>
          <w:color w:val="000000" w:themeColor="text1"/>
        </w:rPr>
        <w:t>i</w:t>
      </w:r>
      <w:r w:rsidRPr="006C1FAB">
        <w:rPr>
          <w:color w:val="000000" w:themeColor="text1"/>
        </w:rPr>
        <w:t>n order to</w:t>
      </w:r>
      <w:proofErr w:type="gramEnd"/>
      <w:r w:rsidRPr="006C1FAB">
        <w:rPr>
          <w:color w:val="000000" w:themeColor="text1"/>
        </w:rPr>
        <w:t xml:space="preserve"> know how the COVID-19 pandemic acted in </w:t>
      </w:r>
      <w:r w:rsidR="005F1CBA" w:rsidRPr="006C1FAB">
        <w:rPr>
          <w:color w:val="000000" w:themeColor="text1"/>
        </w:rPr>
        <w:t>the</w:t>
      </w:r>
      <w:r w:rsidR="003D3A6F" w:rsidRPr="006C1FAB">
        <w:rPr>
          <w:color w:val="000000" w:themeColor="text1"/>
        </w:rPr>
        <w:t>se</w:t>
      </w:r>
      <w:r w:rsidR="005F1CBA" w:rsidRPr="006C1FAB">
        <w:rPr>
          <w:color w:val="000000" w:themeColor="text1"/>
        </w:rPr>
        <w:t xml:space="preserve"> </w:t>
      </w:r>
      <w:r w:rsidRPr="006C1FAB">
        <w:rPr>
          <w:color w:val="000000" w:themeColor="text1"/>
        </w:rPr>
        <w:t>small cities</w:t>
      </w:r>
      <w:r w:rsidR="00D7343B" w:rsidRPr="006C1FAB">
        <w:rPr>
          <w:color w:val="000000" w:themeColor="text1"/>
        </w:rPr>
        <w:t>.</w:t>
      </w:r>
      <w:r w:rsidRPr="006C1FAB">
        <w:rPr>
          <w:color w:val="000000" w:themeColor="text1"/>
        </w:rPr>
        <w:t xml:space="preserve"> The first result that we had to </w:t>
      </w:r>
      <w:r w:rsidR="00D7343B" w:rsidRPr="006C1FAB">
        <w:rPr>
          <w:color w:val="000000" w:themeColor="text1"/>
        </w:rPr>
        <w:t>obtain</w:t>
      </w:r>
      <w:r w:rsidRPr="006C1FAB">
        <w:rPr>
          <w:color w:val="000000" w:themeColor="text1"/>
        </w:rPr>
        <w:t xml:space="preserve"> was to know which municipalities are home to Galician cities with 5,000 to 20,000 inhabitants. According to official data from the IGE (Galician Institute of Statistics) of the 313 municipalities and the more than 2.7 million inhabitants in Galicia</w:t>
      </w:r>
      <w:r w:rsidR="008B6B82" w:rsidRPr="006C1FAB">
        <w:rPr>
          <w:color w:val="000000" w:themeColor="text1"/>
        </w:rPr>
        <w:t>, t</w:t>
      </w:r>
      <w:r w:rsidRPr="006C1FAB">
        <w:rPr>
          <w:color w:val="000000" w:themeColor="text1"/>
        </w:rPr>
        <w:t>here are 90 municipalities with 5,000 to 20,000 inhabitants, which represents almost 29% of the total and comprises more than 845,000 inhabitants, 31% of the population of Galicia (see figure 3).</w:t>
      </w:r>
    </w:p>
    <w:p w14:paraId="033EA625" w14:textId="2FC97F0D" w:rsidR="009D53CE" w:rsidRPr="006C1FAB" w:rsidRDefault="009D53CE" w:rsidP="006C1FAB">
      <w:pPr>
        <w:spacing w:line="240" w:lineRule="auto"/>
        <w:ind w:left="-567" w:right="-851" w:firstLine="0"/>
        <w:jc w:val="center"/>
        <w:rPr>
          <w:color w:val="000000" w:themeColor="text1"/>
        </w:rPr>
      </w:pPr>
    </w:p>
    <w:p w14:paraId="2FF8D76D" w14:textId="4109FA5E" w:rsidR="0016540F" w:rsidRPr="006C1FAB" w:rsidRDefault="0016540F" w:rsidP="006C1FAB">
      <w:pPr>
        <w:spacing w:line="240" w:lineRule="auto"/>
        <w:ind w:left="-567" w:right="-851" w:firstLine="0"/>
        <w:jc w:val="center"/>
        <w:rPr>
          <w:color w:val="000000" w:themeColor="text1"/>
        </w:rPr>
      </w:pPr>
    </w:p>
    <w:p w14:paraId="36D6CCEE" w14:textId="698085B3" w:rsidR="003849E0" w:rsidRPr="006C1FAB" w:rsidRDefault="003849E0" w:rsidP="006C1FAB">
      <w:pPr>
        <w:spacing w:line="240" w:lineRule="auto"/>
        <w:ind w:left="-567" w:right="-851" w:firstLine="0"/>
        <w:jc w:val="center"/>
        <w:rPr>
          <w:color w:val="000000" w:themeColor="text1"/>
        </w:rPr>
      </w:pPr>
    </w:p>
    <w:p w14:paraId="0296098F" w14:textId="50F96B25" w:rsidR="003849E0" w:rsidRPr="006C1FAB" w:rsidRDefault="003849E0" w:rsidP="006C1FAB">
      <w:pPr>
        <w:spacing w:line="240" w:lineRule="auto"/>
        <w:ind w:left="-567" w:right="-851" w:firstLine="0"/>
        <w:jc w:val="center"/>
        <w:rPr>
          <w:color w:val="000000" w:themeColor="text1"/>
        </w:rPr>
      </w:pPr>
    </w:p>
    <w:p w14:paraId="0B904D21" w14:textId="77777777" w:rsidR="003849E0" w:rsidRPr="006C1FAB" w:rsidRDefault="003849E0" w:rsidP="006C1FAB">
      <w:pPr>
        <w:spacing w:line="240" w:lineRule="auto"/>
        <w:ind w:left="-567" w:right="-851" w:firstLine="0"/>
        <w:jc w:val="center"/>
        <w:rPr>
          <w:color w:val="000000" w:themeColor="text1"/>
        </w:rPr>
      </w:pPr>
    </w:p>
    <w:p w14:paraId="10C2966A" w14:textId="467DB73D" w:rsidR="0016540F" w:rsidRPr="006C1FAB" w:rsidRDefault="0016540F" w:rsidP="006C1FAB">
      <w:pPr>
        <w:spacing w:line="240" w:lineRule="auto"/>
        <w:ind w:left="-567" w:right="-851" w:firstLine="0"/>
        <w:jc w:val="center"/>
        <w:rPr>
          <w:color w:val="000000" w:themeColor="text1"/>
        </w:rPr>
      </w:pPr>
    </w:p>
    <w:p w14:paraId="38427FF9" w14:textId="5FEB8B0E" w:rsidR="0016540F" w:rsidRPr="006C1FAB" w:rsidRDefault="0016540F" w:rsidP="006C1FAB">
      <w:pPr>
        <w:spacing w:line="240" w:lineRule="auto"/>
        <w:ind w:left="-567" w:right="-851" w:firstLine="0"/>
        <w:jc w:val="center"/>
        <w:rPr>
          <w:color w:val="000000" w:themeColor="text1"/>
        </w:rPr>
      </w:pPr>
    </w:p>
    <w:p w14:paraId="4AA39D7D" w14:textId="77777777" w:rsidR="009D53CE" w:rsidRPr="006C1FAB" w:rsidRDefault="009D53CE" w:rsidP="006C1FAB">
      <w:pPr>
        <w:spacing w:line="240" w:lineRule="auto"/>
        <w:ind w:left="-567" w:right="-851" w:firstLine="0"/>
        <w:rPr>
          <w:color w:val="000000" w:themeColor="text1"/>
        </w:rPr>
      </w:pPr>
    </w:p>
    <w:p w14:paraId="662840AC" w14:textId="29DFAA6E" w:rsidR="009D53CE" w:rsidRPr="006C1FAB" w:rsidRDefault="00197752" w:rsidP="006C1FAB">
      <w:pPr>
        <w:spacing w:line="240" w:lineRule="auto"/>
        <w:ind w:left="-567" w:right="-851" w:firstLine="0"/>
        <w:rPr>
          <w:color w:val="000000" w:themeColor="text1"/>
        </w:rPr>
      </w:pPr>
      <w:r w:rsidRPr="006C1FAB">
        <w:rPr>
          <w:color w:val="000000" w:themeColor="text1"/>
        </w:rPr>
        <w:t xml:space="preserve">Regarding the territorial distribution of the pandemic in the </w:t>
      </w:r>
      <w:r w:rsidR="008B6B82" w:rsidRPr="006C1FAB">
        <w:rPr>
          <w:color w:val="000000" w:themeColor="text1"/>
        </w:rPr>
        <w:t>medium size</w:t>
      </w:r>
      <w:r w:rsidRPr="006C1FAB">
        <w:rPr>
          <w:color w:val="000000" w:themeColor="text1"/>
        </w:rPr>
        <w:t xml:space="preserve"> municipalities, we verify how they are present in the 4 provinces. However, we detected some singularities.</w:t>
      </w:r>
    </w:p>
    <w:p w14:paraId="4434A521" w14:textId="77777777" w:rsidR="009D53CE" w:rsidRPr="006C1FAB" w:rsidRDefault="00197752" w:rsidP="006C1FAB">
      <w:pPr>
        <w:pStyle w:val="Prrafodelista"/>
        <w:numPr>
          <w:ilvl w:val="0"/>
          <w:numId w:val="1"/>
        </w:numPr>
        <w:spacing w:line="240" w:lineRule="auto"/>
        <w:ind w:left="-567" w:right="-851"/>
        <w:rPr>
          <w:color w:val="000000" w:themeColor="text1"/>
        </w:rPr>
      </w:pPr>
      <w:r w:rsidRPr="006C1FAB">
        <w:rPr>
          <w:color w:val="000000" w:themeColor="text1"/>
        </w:rPr>
        <w:t>Firstly, how they predominate throughout the entire Atlantic urban axis, although to a lesser extent than the urban areas of Galician cities.</w:t>
      </w:r>
    </w:p>
    <w:p w14:paraId="5A5F6968" w14:textId="0D3CBECB" w:rsidR="009D53CE" w:rsidRPr="006C1FAB" w:rsidRDefault="00197752" w:rsidP="006C1FAB">
      <w:pPr>
        <w:pStyle w:val="Prrafodelista"/>
        <w:numPr>
          <w:ilvl w:val="0"/>
          <w:numId w:val="1"/>
        </w:numPr>
        <w:spacing w:line="240" w:lineRule="auto"/>
        <w:ind w:left="-567" w:right="-851"/>
        <w:rPr>
          <w:color w:val="000000" w:themeColor="text1"/>
        </w:rPr>
      </w:pPr>
      <w:r w:rsidRPr="006C1FAB">
        <w:rPr>
          <w:color w:val="000000" w:themeColor="text1"/>
        </w:rPr>
        <w:t>Secondly, we see how some population centres that act as municipal capitals are becoming more prominent, bringing together education, health or area service</w:t>
      </w:r>
      <w:r w:rsidR="008B6B82" w:rsidRPr="006C1FAB">
        <w:rPr>
          <w:color w:val="000000" w:themeColor="text1"/>
        </w:rPr>
        <w:t>s</w:t>
      </w:r>
      <w:r w:rsidRPr="006C1FAB">
        <w:rPr>
          <w:color w:val="000000" w:themeColor="text1"/>
        </w:rPr>
        <w:t xml:space="preserve"> that go beyond their administrative limits. This is the case of Monforte de </w:t>
      </w:r>
      <w:proofErr w:type="spellStart"/>
      <w:r w:rsidRPr="006C1FAB">
        <w:rPr>
          <w:color w:val="000000" w:themeColor="text1"/>
        </w:rPr>
        <w:t>Lemos</w:t>
      </w:r>
      <w:proofErr w:type="spellEnd"/>
      <w:r w:rsidRPr="006C1FAB">
        <w:rPr>
          <w:color w:val="000000" w:themeColor="text1"/>
        </w:rPr>
        <w:t xml:space="preserve">, O Barco de </w:t>
      </w:r>
      <w:proofErr w:type="spellStart"/>
      <w:r w:rsidRPr="006C1FAB">
        <w:rPr>
          <w:color w:val="000000" w:themeColor="text1"/>
        </w:rPr>
        <w:t>Valdeorrras</w:t>
      </w:r>
      <w:proofErr w:type="spellEnd"/>
      <w:r w:rsidRPr="006C1FAB">
        <w:rPr>
          <w:color w:val="000000" w:themeColor="text1"/>
        </w:rPr>
        <w:t xml:space="preserve"> or </w:t>
      </w:r>
      <w:proofErr w:type="spellStart"/>
      <w:r w:rsidRPr="006C1FAB">
        <w:rPr>
          <w:color w:val="000000" w:themeColor="text1"/>
        </w:rPr>
        <w:t>Verín</w:t>
      </w:r>
      <w:proofErr w:type="spellEnd"/>
      <w:r w:rsidRPr="006C1FAB">
        <w:rPr>
          <w:color w:val="000000" w:themeColor="text1"/>
        </w:rPr>
        <w:t>.</w:t>
      </w:r>
    </w:p>
    <w:p w14:paraId="6DC276FE" w14:textId="2029CDAA" w:rsidR="009D53CE" w:rsidRPr="006C1FAB" w:rsidRDefault="00197752" w:rsidP="006C1FAB">
      <w:pPr>
        <w:pStyle w:val="Prrafodelista"/>
        <w:numPr>
          <w:ilvl w:val="0"/>
          <w:numId w:val="1"/>
        </w:numPr>
        <w:spacing w:line="240" w:lineRule="auto"/>
        <w:ind w:left="-567" w:right="-851"/>
        <w:rPr>
          <w:color w:val="000000" w:themeColor="text1"/>
        </w:rPr>
      </w:pPr>
      <w:r w:rsidRPr="006C1FAB">
        <w:rPr>
          <w:color w:val="000000" w:themeColor="text1"/>
        </w:rPr>
        <w:t>In relation to these small cities, it should be noted that they are more common in the eastern provinces (Lugo and Ourense) which, among other factors, are characterised by their aging population and lower socioeconomic rates than those of the western provinces.</w:t>
      </w:r>
    </w:p>
    <w:p w14:paraId="56A36772" w14:textId="77777777" w:rsidR="006E184D" w:rsidRPr="006C1FAB" w:rsidRDefault="006E184D" w:rsidP="006C1FAB">
      <w:pPr>
        <w:pStyle w:val="Prrafodelista"/>
        <w:numPr>
          <w:ilvl w:val="0"/>
          <w:numId w:val="1"/>
        </w:numPr>
        <w:spacing w:line="240" w:lineRule="auto"/>
        <w:ind w:left="-567" w:right="-851"/>
        <w:rPr>
          <w:color w:val="000000" w:themeColor="text1"/>
          <w:lang w:val="en-US"/>
        </w:rPr>
      </w:pPr>
      <w:r w:rsidRPr="006C1FAB">
        <w:rPr>
          <w:color w:val="000000" w:themeColor="text1"/>
          <w:lang w:val="en"/>
        </w:rPr>
        <w:t xml:space="preserve">Having the location information in detail of those infected, also allowed us to detect the concentration </w:t>
      </w:r>
      <w:proofErr w:type="spellStart"/>
      <w:r w:rsidRPr="006C1FAB">
        <w:rPr>
          <w:color w:val="000000" w:themeColor="text1"/>
          <w:lang w:val="en"/>
        </w:rPr>
        <w:t>ofthese</w:t>
      </w:r>
      <w:proofErr w:type="spellEnd"/>
      <w:r w:rsidRPr="006C1FAB">
        <w:rPr>
          <w:color w:val="000000" w:themeColor="text1"/>
          <w:lang w:val="en"/>
        </w:rPr>
        <w:t xml:space="preserve">, during the first </w:t>
      </w:r>
      <w:proofErr w:type="gramStart"/>
      <w:r w:rsidRPr="006C1FAB">
        <w:rPr>
          <w:color w:val="000000" w:themeColor="text1"/>
          <w:lang w:val="en"/>
        </w:rPr>
        <w:t>wave,  in</w:t>
      </w:r>
      <w:proofErr w:type="gramEnd"/>
      <w:r w:rsidRPr="006C1FAB">
        <w:rPr>
          <w:color w:val="000000" w:themeColor="text1"/>
          <w:lang w:val="en"/>
        </w:rPr>
        <w:t xml:space="preserve"> nursing homes. Many of these residences are located outside the large Galician cities.</w:t>
      </w:r>
    </w:p>
    <w:p w14:paraId="681B697D" w14:textId="77777777" w:rsidR="008F78F5" w:rsidRPr="006C1FAB" w:rsidRDefault="008F78F5" w:rsidP="006C1FAB">
      <w:pPr>
        <w:spacing w:line="240" w:lineRule="auto"/>
        <w:ind w:left="-567" w:right="-851" w:firstLine="0"/>
        <w:rPr>
          <w:color w:val="000000" w:themeColor="text1"/>
          <w:lang w:val="en-US"/>
        </w:rPr>
      </w:pPr>
    </w:p>
    <w:p w14:paraId="01DD9A0F" w14:textId="460DD90E" w:rsidR="009D53CE" w:rsidRPr="006C1FAB" w:rsidRDefault="005A30DD" w:rsidP="006C1FAB">
      <w:pPr>
        <w:spacing w:line="240" w:lineRule="auto"/>
        <w:ind w:left="-567" w:right="-851" w:firstLine="0"/>
        <w:rPr>
          <w:color w:val="000000" w:themeColor="text1"/>
        </w:rPr>
      </w:pPr>
      <w:r w:rsidRPr="006C1FAB">
        <w:rPr>
          <w:color w:val="000000" w:themeColor="text1"/>
          <w:lang w:val="en"/>
        </w:rPr>
        <w:t xml:space="preserve">Therefore, there is a certain homogenization between the representation of these municipalities in relation to the number they represent and the population they compose. </w:t>
      </w:r>
      <w:r w:rsidR="00197752" w:rsidRPr="006C1FAB">
        <w:rPr>
          <w:color w:val="000000" w:themeColor="text1"/>
        </w:rPr>
        <w:t>(</w:t>
      </w:r>
      <w:proofErr w:type="gramStart"/>
      <w:r w:rsidR="00197752" w:rsidRPr="006C1FAB">
        <w:rPr>
          <w:color w:val="000000" w:themeColor="text1"/>
        </w:rPr>
        <w:t>see</w:t>
      </w:r>
      <w:proofErr w:type="gramEnd"/>
      <w:r w:rsidR="00197752" w:rsidRPr="006C1FAB">
        <w:rPr>
          <w:color w:val="000000" w:themeColor="text1"/>
        </w:rPr>
        <w:t xml:space="preserve"> figure 4).</w:t>
      </w:r>
    </w:p>
    <w:p w14:paraId="4DF55390" w14:textId="77777777" w:rsidR="008F78F5" w:rsidRPr="006C1FAB" w:rsidRDefault="008F78F5" w:rsidP="006C1FAB">
      <w:pPr>
        <w:spacing w:line="240" w:lineRule="auto"/>
        <w:ind w:left="-567" w:right="-851" w:firstLine="0"/>
        <w:rPr>
          <w:color w:val="000000" w:themeColor="text1"/>
        </w:rPr>
      </w:pPr>
    </w:p>
    <w:p w14:paraId="5793A6D5" w14:textId="77777777" w:rsidR="008F78F5" w:rsidRPr="006C1FAB" w:rsidRDefault="008F78F5" w:rsidP="006C1FAB">
      <w:pPr>
        <w:spacing w:line="240" w:lineRule="auto"/>
        <w:ind w:left="-567" w:right="-851" w:firstLine="0"/>
        <w:rPr>
          <w:color w:val="000000" w:themeColor="text1"/>
        </w:rPr>
      </w:pPr>
      <w:r w:rsidRPr="006C1FAB">
        <w:rPr>
          <w:color w:val="000000" w:themeColor="text1"/>
        </w:rPr>
        <w:t>The percentage of the number of people infected by COVID-19 in medium size municipalities, which is 25.2%, is slightly lower than the percentage of the number of municipalities and population volume (see table 1).</w:t>
      </w:r>
    </w:p>
    <w:p w14:paraId="56742C51" w14:textId="07845D4A" w:rsidR="008F78F5" w:rsidRDefault="008F78F5" w:rsidP="006C1FAB">
      <w:pPr>
        <w:spacing w:line="240" w:lineRule="auto"/>
        <w:ind w:left="-567" w:right="-851" w:firstLine="0"/>
        <w:rPr>
          <w:color w:val="000000" w:themeColor="text1"/>
        </w:rPr>
      </w:pPr>
    </w:p>
    <w:tbl>
      <w:tblPr>
        <w:tblStyle w:val="Tablaconcuadrcula"/>
        <w:tblW w:w="0" w:type="auto"/>
        <w:tblLook w:val="04A0" w:firstRow="1" w:lastRow="0" w:firstColumn="1" w:lastColumn="0" w:noHBand="0" w:noVBand="1"/>
      </w:tblPr>
      <w:tblGrid>
        <w:gridCol w:w="1556"/>
        <w:gridCol w:w="1557"/>
        <w:gridCol w:w="1557"/>
        <w:gridCol w:w="1557"/>
      </w:tblGrid>
      <w:tr w:rsidR="004D20D5" w14:paraId="0071D7D7" w14:textId="77777777" w:rsidTr="00370F7A">
        <w:tc>
          <w:tcPr>
            <w:tcW w:w="1556" w:type="dxa"/>
          </w:tcPr>
          <w:p w14:paraId="3DAEE1D1" w14:textId="77777777" w:rsidR="004D20D5" w:rsidRDefault="004D20D5" w:rsidP="00370F7A">
            <w:pPr>
              <w:ind w:firstLine="0"/>
              <w:rPr>
                <w:sz w:val="20"/>
              </w:rPr>
            </w:pPr>
          </w:p>
        </w:tc>
        <w:tc>
          <w:tcPr>
            <w:tcW w:w="1557" w:type="dxa"/>
          </w:tcPr>
          <w:p w14:paraId="7919E311" w14:textId="77777777" w:rsidR="004D20D5" w:rsidRDefault="004D20D5" w:rsidP="00370F7A">
            <w:pPr>
              <w:pStyle w:val="P68B1DB1-Normal2"/>
              <w:ind w:firstLine="0"/>
            </w:pPr>
            <w:r>
              <w:t>No. of municipalities</w:t>
            </w:r>
          </w:p>
        </w:tc>
        <w:tc>
          <w:tcPr>
            <w:tcW w:w="1557" w:type="dxa"/>
          </w:tcPr>
          <w:p w14:paraId="712902B3" w14:textId="77777777" w:rsidR="004D20D5" w:rsidRDefault="004D20D5" w:rsidP="00370F7A">
            <w:pPr>
              <w:pStyle w:val="P68B1DB1-Normal2"/>
              <w:ind w:firstLine="0"/>
            </w:pPr>
            <w:r>
              <w:t>No. of inhabitants</w:t>
            </w:r>
          </w:p>
        </w:tc>
        <w:tc>
          <w:tcPr>
            <w:tcW w:w="1557" w:type="dxa"/>
          </w:tcPr>
          <w:p w14:paraId="4D599339" w14:textId="77777777" w:rsidR="004D20D5" w:rsidRDefault="004D20D5" w:rsidP="00370F7A">
            <w:pPr>
              <w:pStyle w:val="P68B1DB1-Normal2"/>
              <w:ind w:firstLine="0"/>
            </w:pPr>
            <w:r>
              <w:t>No. of COVID-19 cases</w:t>
            </w:r>
          </w:p>
        </w:tc>
      </w:tr>
      <w:tr w:rsidR="004D20D5" w14:paraId="3E15006C" w14:textId="77777777" w:rsidTr="00370F7A">
        <w:tc>
          <w:tcPr>
            <w:tcW w:w="1556" w:type="dxa"/>
          </w:tcPr>
          <w:p w14:paraId="2A71F653" w14:textId="77777777" w:rsidR="004D20D5" w:rsidRDefault="004D20D5" w:rsidP="00370F7A">
            <w:pPr>
              <w:pStyle w:val="P68B1DB1-Normal2"/>
              <w:ind w:firstLine="0"/>
            </w:pPr>
            <w:r>
              <w:t>Medium size municipalities</w:t>
            </w:r>
          </w:p>
        </w:tc>
        <w:tc>
          <w:tcPr>
            <w:tcW w:w="1557" w:type="dxa"/>
          </w:tcPr>
          <w:p w14:paraId="71038FDD" w14:textId="77777777" w:rsidR="004D20D5" w:rsidRDefault="004D20D5" w:rsidP="00370F7A">
            <w:pPr>
              <w:pStyle w:val="P68B1DB1-Normal2"/>
              <w:ind w:firstLine="0"/>
              <w:jc w:val="center"/>
            </w:pPr>
            <w:r>
              <w:t>90</w:t>
            </w:r>
          </w:p>
        </w:tc>
        <w:tc>
          <w:tcPr>
            <w:tcW w:w="1557" w:type="dxa"/>
          </w:tcPr>
          <w:p w14:paraId="30B30217" w14:textId="77777777" w:rsidR="004D20D5" w:rsidRDefault="004D20D5" w:rsidP="00370F7A">
            <w:pPr>
              <w:pStyle w:val="P68B1DB1-Normal2"/>
              <w:ind w:firstLine="0"/>
              <w:jc w:val="center"/>
            </w:pPr>
            <w:r>
              <w:t>845,796</w:t>
            </w:r>
          </w:p>
        </w:tc>
        <w:tc>
          <w:tcPr>
            <w:tcW w:w="1557" w:type="dxa"/>
          </w:tcPr>
          <w:p w14:paraId="5E6404B2" w14:textId="77777777" w:rsidR="004D20D5" w:rsidRDefault="004D20D5" w:rsidP="00370F7A">
            <w:pPr>
              <w:pStyle w:val="P68B1DB1-Normal2"/>
              <w:ind w:firstLine="0"/>
              <w:jc w:val="center"/>
            </w:pPr>
            <w:r>
              <w:t>2,669</w:t>
            </w:r>
          </w:p>
        </w:tc>
      </w:tr>
      <w:tr w:rsidR="004D20D5" w14:paraId="1AFB4031" w14:textId="77777777" w:rsidTr="00370F7A">
        <w:tc>
          <w:tcPr>
            <w:tcW w:w="1556" w:type="dxa"/>
          </w:tcPr>
          <w:p w14:paraId="46BE0E51" w14:textId="77777777" w:rsidR="004D20D5" w:rsidRDefault="004D20D5" w:rsidP="00370F7A">
            <w:pPr>
              <w:pStyle w:val="P68B1DB1-Normal2"/>
              <w:ind w:firstLine="0"/>
            </w:pPr>
            <w:r>
              <w:t>Rest of Galicia</w:t>
            </w:r>
          </w:p>
        </w:tc>
        <w:tc>
          <w:tcPr>
            <w:tcW w:w="1557" w:type="dxa"/>
          </w:tcPr>
          <w:p w14:paraId="04382686" w14:textId="77777777" w:rsidR="004D20D5" w:rsidRDefault="004D20D5" w:rsidP="00370F7A">
            <w:pPr>
              <w:pStyle w:val="P68B1DB1-Normal2"/>
              <w:ind w:firstLine="0"/>
              <w:jc w:val="center"/>
            </w:pPr>
            <w:r>
              <w:t>223</w:t>
            </w:r>
          </w:p>
        </w:tc>
        <w:tc>
          <w:tcPr>
            <w:tcW w:w="1557" w:type="dxa"/>
          </w:tcPr>
          <w:p w14:paraId="792AA823" w14:textId="77777777" w:rsidR="004D20D5" w:rsidRDefault="004D20D5" w:rsidP="00370F7A">
            <w:pPr>
              <w:pStyle w:val="P68B1DB1-Normal2"/>
              <w:ind w:firstLine="0"/>
              <w:jc w:val="center"/>
            </w:pPr>
            <w:r>
              <w:t>1,856,023</w:t>
            </w:r>
          </w:p>
        </w:tc>
        <w:tc>
          <w:tcPr>
            <w:tcW w:w="1557" w:type="dxa"/>
          </w:tcPr>
          <w:p w14:paraId="74812F29" w14:textId="77777777" w:rsidR="004D20D5" w:rsidRDefault="004D20D5" w:rsidP="00370F7A">
            <w:pPr>
              <w:pStyle w:val="P68B1DB1-Normal2"/>
              <w:ind w:firstLine="0"/>
              <w:jc w:val="center"/>
            </w:pPr>
            <w:r>
              <w:t>7,914</w:t>
            </w:r>
          </w:p>
        </w:tc>
      </w:tr>
      <w:tr w:rsidR="004D20D5" w14:paraId="60E45169" w14:textId="77777777" w:rsidTr="00370F7A">
        <w:tc>
          <w:tcPr>
            <w:tcW w:w="1556" w:type="dxa"/>
          </w:tcPr>
          <w:p w14:paraId="33DA5ADD" w14:textId="77777777" w:rsidR="004D20D5" w:rsidRDefault="004D20D5" w:rsidP="00370F7A">
            <w:pPr>
              <w:pStyle w:val="P68B1DB1-Normal2"/>
              <w:ind w:firstLine="0"/>
            </w:pPr>
            <w:r>
              <w:t>TOTAL</w:t>
            </w:r>
          </w:p>
        </w:tc>
        <w:tc>
          <w:tcPr>
            <w:tcW w:w="1557" w:type="dxa"/>
          </w:tcPr>
          <w:p w14:paraId="5ADC9990" w14:textId="77777777" w:rsidR="004D20D5" w:rsidRDefault="004D20D5" w:rsidP="00370F7A">
            <w:pPr>
              <w:pStyle w:val="P68B1DB1-Normal2"/>
              <w:ind w:firstLine="0"/>
              <w:jc w:val="center"/>
            </w:pPr>
            <w:r>
              <w:t>313</w:t>
            </w:r>
          </w:p>
        </w:tc>
        <w:tc>
          <w:tcPr>
            <w:tcW w:w="1557" w:type="dxa"/>
          </w:tcPr>
          <w:p w14:paraId="5BFC1BE0" w14:textId="77777777" w:rsidR="004D20D5" w:rsidRDefault="004D20D5" w:rsidP="00370F7A">
            <w:pPr>
              <w:pStyle w:val="P68B1DB1-Normal2"/>
              <w:ind w:firstLine="0"/>
              <w:jc w:val="center"/>
            </w:pPr>
            <w:r>
              <w:t>2,701,819</w:t>
            </w:r>
          </w:p>
        </w:tc>
        <w:tc>
          <w:tcPr>
            <w:tcW w:w="1557" w:type="dxa"/>
          </w:tcPr>
          <w:p w14:paraId="71C65629" w14:textId="77777777" w:rsidR="004D20D5" w:rsidRDefault="004D20D5" w:rsidP="00370F7A">
            <w:pPr>
              <w:pStyle w:val="P68B1DB1-Normal2"/>
              <w:ind w:firstLine="0"/>
              <w:jc w:val="center"/>
            </w:pPr>
            <w:r>
              <w:t>10,583</w:t>
            </w:r>
          </w:p>
        </w:tc>
      </w:tr>
    </w:tbl>
    <w:p w14:paraId="7B40D1F4" w14:textId="77777777" w:rsidR="008F78F5" w:rsidRPr="006C1FAB" w:rsidRDefault="008F78F5" w:rsidP="006C1FAB">
      <w:pPr>
        <w:pStyle w:val="P68B1DB1-Normal2"/>
        <w:spacing w:line="240" w:lineRule="auto"/>
        <w:ind w:left="-567" w:right="-851" w:firstLine="0"/>
        <w:rPr>
          <w:color w:val="000000" w:themeColor="text1"/>
        </w:rPr>
      </w:pPr>
      <w:r w:rsidRPr="006C1FAB">
        <w:rPr>
          <w:color w:val="000000" w:themeColor="text1"/>
        </w:rPr>
        <w:t>Table 1. Relationship of the basic differences between intermediate municipalities and the rest of Galicia during the first wave of the pandemic (Source: own elaboration from data from Galician Health Service, 2020)</w:t>
      </w:r>
    </w:p>
    <w:p w14:paraId="7D5C033E" w14:textId="77777777" w:rsidR="008F78F5" w:rsidRPr="006C1FAB" w:rsidRDefault="008F78F5" w:rsidP="006C1FAB">
      <w:pPr>
        <w:spacing w:line="240" w:lineRule="auto"/>
        <w:ind w:left="-567" w:right="-851" w:firstLine="0"/>
        <w:rPr>
          <w:color w:val="000000" w:themeColor="text1"/>
        </w:rPr>
      </w:pPr>
    </w:p>
    <w:p w14:paraId="583E0DEF" w14:textId="77777777" w:rsidR="006C1FAB" w:rsidRDefault="00197752" w:rsidP="006C1FAB">
      <w:pPr>
        <w:spacing w:line="240" w:lineRule="auto"/>
        <w:ind w:left="-567" w:right="-851" w:firstLine="0"/>
        <w:rPr>
          <w:color w:val="000000" w:themeColor="text1"/>
        </w:rPr>
      </w:pPr>
      <w:r w:rsidRPr="006C1FAB">
        <w:rPr>
          <w:color w:val="000000" w:themeColor="text1"/>
        </w:rPr>
        <w:t xml:space="preserve">Regarding the evolution of </w:t>
      </w:r>
      <w:r w:rsidR="00E4695C" w:rsidRPr="006C1FAB">
        <w:rPr>
          <w:color w:val="000000" w:themeColor="text1"/>
        </w:rPr>
        <w:t>COVID-19</w:t>
      </w:r>
      <w:r w:rsidRPr="006C1FAB">
        <w:rPr>
          <w:color w:val="000000" w:themeColor="text1"/>
        </w:rPr>
        <w:t xml:space="preserve"> positive cases (see figure 5), in Galicia we see how the cases began to be detected throughout the month of February, </w:t>
      </w:r>
      <w:r w:rsidRPr="006C1FAB">
        <w:rPr>
          <w:color w:val="000000" w:themeColor="text1"/>
        </w:rPr>
        <w:lastRenderedPageBreak/>
        <w:t xml:space="preserve">but it was in March when the pandemic broke out on a global, </w:t>
      </w:r>
      <w:proofErr w:type="gramStart"/>
      <w:r w:rsidRPr="006C1FAB">
        <w:rPr>
          <w:color w:val="000000" w:themeColor="text1"/>
        </w:rPr>
        <w:t>national</w:t>
      </w:r>
      <w:proofErr w:type="gramEnd"/>
      <w:r w:rsidRPr="006C1FAB">
        <w:rPr>
          <w:color w:val="000000" w:themeColor="text1"/>
        </w:rPr>
        <w:t xml:space="preserve"> and regional scale. In Galicia, it arrived later compared to other areas of Spain. But it did suffer the dire consequences of the pandemic from the vital, </w:t>
      </w:r>
      <w:proofErr w:type="gramStart"/>
      <w:r w:rsidRPr="006C1FAB">
        <w:rPr>
          <w:color w:val="000000" w:themeColor="text1"/>
        </w:rPr>
        <w:t>social</w:t>
      </w:r>
      <w:proofErr w:type="gramEnd"/>
      <w:r w:rsidRPr="006C1FAB">
        <w:rPr>
          <w:color w:val="000000" w:themeColor="text1"/>
        </w:rPr>
        <w:t xml:space="preserve"> and economic point of view as well as the lockdowns. Once the months of March and April were over, the number of those infected dropped considerably and even more the closer we got to the summer months of July and August. In fact, it was thought that the pandemic was over, </w:t>
      </w:r>
      <w:r w:rsidR="00E4695C" w:rsidRPr="006C1FAB">
        <w:rPr>
          <w:color w:val="000000" w:themeColor="text1"/>
        </w:rPr>
        <w:t xml:space="preserve">only </w:t>
      </w:r>
      <w:r w:rsidR="005B48D6" w:rsidRPr="006C1FAB">
        <w:rPr>
          <w:color w:val="000000" w:themeColor="text1"/>
        </w:rPr>
        <w:t>to later find out</w:t>
      </w:r>
      <w:r w:rsidRPr="006C1FAB">
        <w:rPr>
          <w:color w:val="000000" w:themeColor="text1"/>
        </w:rPr>
        <w:t xml:space="preserve"> how wrong that was</w:t>
      </w:r>
      <w:r w:rsidRPr="006C1FAB">
        <w:rPr>
          <w:rStyle w:val="Refdenotaalpie"/>
          <w:color w:val="000000" w:themeColor="text1"/>
        </w:rPr>
        <w:footnoteReference w:id="12"/>
      </w:r>
      <w:r w:rsidRPr="006C1FAB">
        <w:rPr>
          <w:color w:val="000000" w:themeColor="text1"/>
        </w:rPr>
        <w:t>.</w:t>
      </w:r>
    </w:p>
    <w:p w14:paraId="0088A8C8" w14:textId="3B3E187C" w:rsidR="009D53CE" w:rsidRPr="006C1FAB" w:rsidRDefault="00197752" w:rsidP="006C1FAB">
      <w:pPr>
        <w:spacing w:line="240" w:lineRule="auto"/>
        <w:ind w:left="-567" w:right="-851" w:firstLine="0"/>
        <w:rPr>
          <w:color w:val="000000" w:themeColor="text1"/>
        </w:rPr>
      </w:pPr>
      <w:r w:rsidRPr="006C1FAB">
        <w:rPr>
          <w:color w:val="000000" w:themeColor="text1"/>
        </w:rPr>
        <w:t xml:space="preserve">When differentiating between the medium size municipalities (small cities and many municipal capitals) and the rest of Galicia, we verify how the temporal evolution of positive cases has been similar, </w:t>
      </w:r>
      <w:r w:rsidR="00D7343B" w:rsidRPr="006C1FAB">
        <w:rPr>
          <w:color w:val="000000" w:themeColor="text1"/>
        </w:rPr>
        <w:t>although</w:t>
      </w:r>
      <w:r w:rsidRPr="006C1FAB">
        <w:rPr>
          <w:color w:val="000000" w:themeColor="text1"/>
        </w:rPr>
        <w:t xml:space="preserve"> the disease arrived later in medium size areas compared to urban ones. In fact, the first cases in February correspond to urban municipalities</w:t>
      </w:r>
      <w:r w:rsidR="00120EF9" w:rsidRPr="006C1FAB">
        <w:rPr>
          <w:color w:val="000000" w:themeColor="text1"/>
        </w:rPr>
        <w:t>. However,</w:t>
      </w:r>
      <w:r w:rsidRPr="006C1FAB">
        <w:rPr>
          <w:color w:val="000000" w:themeColor="text1"/>
        </w:rPr>
        <w:t xml:space="preserve"> the situation in the most </w:t>
      </w:r>
      <w:r w:rsidR="005B48D6" w:rsidRPr="006C1FAB">
        <w:rPr>
          <w:color w:val="000000" w:themeColor="text1"/>
        </w:rPr>
        <w:t>difficult</w:t>
      </w:r>
      <w:r w:rsidRPr="006C1FAB">
        <w:rPr>
          <w:color w:val="000000" w:themeColor="text1"/>
        </w:rPr>
        <w:t xml:space="preserve"> period of the pandemic, the month of March, was very similar throughout Galicia</w:t>
      </w:r>
      <w:r w:rsidR="00120EF9" w:rsidRPr="006C1FAB">
        <w:rPr>
          <w:color w:val="000000" w:themeColor="text1"/>
        </w:rPr>
        <w:t xml:space="preserve"> apart from</w:t>
      </w:r>
      <w:r w:rsidRPr="006C1FAB">
        <w:rPr>
          <w:color w:val="000000" w:themeColor="text1"/>
        </w:rPr>
        <w:t xml:space="preserve"> the obvious difference</w:t>
      </w:r>
      <w:r w:rsidR="00120EF9" w:rsidRPr="006C1FAB">
        <w:rPr>
          <w:color w:val="000000" w:themeColor="text1"/>
        </w:rPr>
        <w:t xml:space="preserve"> </w:t>
      </w:r>
      <w:r w:rsidRPr="006C1FAB">
        <w:rPr>
          <w:color w:val="000000" w:themeColor="text1"/>
        </w:rPr>
        <w:t>of a smaller number of absolute cases in small cities.</w:t>
      </w:r>
    </w:p>
    <w:p w14:paraId="15BFC226" w14:textId="7039B476" w:rsidR="009D53CE" w:rsidRPr="006C1FAB" w:rsidRDefault="00197752" w:rsidP="006C1FAB">
      <w:pPr>
        <w:spacing w:line="240" w:lineRule="auto"/>
        <w:ind w:left="-567" w:right="-851" w:firstLine="0"/>
        <w:rPr>
          <w:color w:val="000000" w:themeColor="text1"/>
        </w:rPr>
      </w:pPr>
      <w:r w:rsidRPr="006C1FAB">
        <w:rPr>
          <w:color w:val="000000" w:themeColor="text1"/>
        </w:rPr>
        <w:t xml:space="preserve">Another temporary aspect that </w:t>
      </w:r>
      <w:r w:rsidR="00A01716" w:rsidRPr="006C1FAB">
        <w:rPr>
          <w:color w:val="000000" w:themeColor="text1"/>
        </w:rPr>
        <w:t>can be</w:t>
      </w:r>
      <w:r w:rsidRPr="006C1FAB">
        <w:rPr>
          <w:color w:val="000000" w:themeColor="text1"/>
        </w:rPr>
        <w:t xml:space="preserve"> detected is that in the medium size municipalities the pandemic arrived later, but it also took longer to "leave"</w:t>
      </w:r>
      <w:r w:rsidR="00BE5FA8" w:rsidRPr="006C1FAB">
        <w:rPr>
          <w:color w:val="000000" w:themeColor="text1"/>
        </w:rPr>
        <w:t>.</w:t>
      </w:r>
      <w:r w:rsidR="00120EF9" w:rsidRPr="006C1FAB">
        <w:rPr>
          <w:color w:val="000000" w:themeColor="text1"/>
        </w:rPr>
        <w:t xml:space="preserve"> </w:t>
      </w:r>
      <w:r w:rsidRPr="006C1FAB">
        <w:rPr>
          <w:color w:val="000000" w:themeColor="text1"/>
        </w:rPr>
        <w:t xml:space="preserve">As an anecdote, the </w:t>
      </w:r>
      <w:r w:rsidR="00BE5FA8" w:rsidRPr="006C1FAB">
        <w:rPr>
          <w:color w:val="000000" w:themeColor="text1"/>
        </w:rPr>
        <w:t>highest</w:t>
      </w:r>
      <w:r w:rsidRPr="006C1FAB">
        <w:rPr>
          <w:color w:val="000000" w:themeColor="text1"/>
        </w:rPr>
        <w:t xml:space="preserve"> number of infected</w:t>
      </w:r>
      <w:r w:rsidR="00120EF9" w:rsidRPr="006C1FAB">
        <w:rPr>
          <w:color w:val="000000" w:themeColor="text1"/>
        </w:rPr>
        <w:t xml:space="preserve"> cases</w:t>
      </w:r>
      <w:r w:rsidRPr="006C1FAB">
        <w:rPr>
          <w:color w:val="000000" w:themeColor="text1"/>
        </w:rPr>
        <w:t xml:space="preserve"> in a single day, within the </w:t>
      </w:r>
      <w:r w:rsidR="00120EF9" w:rsidRPr="006C1FAB">
        <w:rPr>
          <w:color w:val="000000" w:themeColor="text1"/>
        </w:rPr>
        <w:t>medium size</w:t>
      </w:r>
      <w:r w:rsidRPr="006C1FAB">
        <w:rPr>
          <w:color w:val="000000" w:themeColor="text1"/>
        </w:rPr>
        <w:t xml:space="preserve"> municipalities, occurred on 20 March 2020 in the municipality of </w:t>
      </w:r>
      <w:proofErr w:type="spellStart"/>
      <w:r w:rsidRPr="006C1FAB">
        <w:rPr>
          <w:color w:val="000000" w:themeColor="text1"/>
        </w:rPr>
        <w:t>Xinzo</w:t>
      </w:r>
      <w:proofErr w:type="spellEnd"/>
      <w:r w:rsidRPr="006C1FAB">
        <w:rPr>
          <w:color w:val="000000" w:themeColor="text1"/>
        </w:rPr>
        <w:t xml:space="preserve"> de Limia, as a direct consequence of the combination of several factors such as: "no celebration" of the carnival (the quintessential festival of this municipality) but which did not prevent meetings between family and friends, and outbreaks in nursing homes.</w:t>
      </w:r>
    </w:p>
    <w:p w14:paraId="70CD12C4" w14:textId="27D26D95" w:rsidR="00DC0AE5" w:rsidRPr="006C1FAB" w:rsidRDefault="00DC0AE5" w:rsidP="006C1FAB">
      <w:pPr>
        <w:spacing w:line="240" w:lineRule="auto"/>
        <w:ind w:left="-567" w:right="-851" w:firstLine="0"/>
        <w:rPr>
          <w:color w:val="000000" w:themeColor="text1"/>
        </w:rPr>
      </w:pPr>
      <w:r w:rsidRPr="006C1FAB">
        <w:rPr>
          <w:color w:val="000000" w:themeColor="text1"/>
          <w:lang w:val="en"/>
        </w:rPr>
        <w:t xml:space="preserve">Without </w:t>
      </w:r>
      <w:r w:rsidR="006F510B" w:rsidRPr="006C1FAB">
        <w:rPr>
          <w:color w:val="000000" w:themeColor="text1"/>
          <w:lang w:val="en"/>
        </w:rPr>
        <w:t>entering</w:t>
      </w:r>
      <w:r w:rsidRPr="006C1FAB">
        <w:rPr>
          <w:color w:val="000000" w:themeColor="text1"/>
          <w:lang w:val="en"/>
        </w:rPr>
        <w:t xml:space="preserve"> judicial jurisdiction, it became quite clear that, although there was a declaration by the competent authorities at regional and local level of the cancellation of any type of recreational or festive activity. Canceling the celebration of carnival. The idiosyncrasy of the population and the need to carry out </w:t>
      </w:r>
      <w:r w:rsidR="006F510B" w:rsidRPr="006C1FAB">
        <w:rPr>
          <w:color w:val="000000" w:themeColor="text1"/>
          <w:lang w:val="en"/>
        </w:rPr>
        <w:t>commemorative</w:t>
      </w:r>
      <w:r w:rsidRPr="006C1FAB">
        <w:rPr>
          <w:color w:val="000000" w:themeColor="text1"/>
          <w:lang w:val="en"/>
        </w:rPr>
        <w:t xml:space="preserve"> act of a day as important for this territory as the carnival. It caused </w:t>
      </w:r>
      <w:r w:rsidR="006F510B" w:rsidRPr="006C1FAB">
        <w:rPr>
          <w:color w:val="000000" w:themeColor="text1"/>
          <w:lang w:val="en"/>
        </w:rPr>
        <w:t>that, despite</w:t>
      </w:r>
      <w:r w:rsidRPr="006C1FAB">
        <w:rPr>
          <w:color w:val="000000" w:themeColor="text1"/>
          <w:lang w:val="en"/>
        </w:rPr>
        <w:t xml:space="preserve"> the security measures, there were groupings of family units and groups of closest friends that triggered an increase in those infected in this municipality</w:t>
      </w:r>
      <w:r w:rsidR="007427FC">
        <w:rPr>
          <w:color w:val="000000" w:themeColor="text1"/>
          <w:lang w:val="en"/>
        </w:rPr>
        <w:t xml:space="preserve"> (figure 6)</w:t>
      </w:r>
      <w:r w:rsidRPr="006C1FAB">
        <w:rPr>
          <w:color w:val="000000" w:themeColor="text1"/>
          <w:lang w:val="en"/>
        </w:rPr>
        <w:t>.</w:t>
      </w:r>
    </w:p>
    <w:p w14:paraId="5ED0FEB1" w14:textId="457227BE" w:rsidR="009D53CE" w:rsidRPr="006C1FAB" w:rsidRDefault="00197752" w:rsidP="006C1FAB">
      <w:pPr>
        <w:spacing w:line="240" w:lineRule="auto"/>
        <w:ind w:left="-567" w:right="-851" w:firstLine="0"/>
        <w:rPr>
          <w:color w:val="000000" w:themeColor="text1"/>
        </w:rPr>
      </w:pPr>
      <w:proofErr w:type="gramStart"/>
      <w:r w:rsidRPr="006C1FAB">
        <w:rPr>
          <w:color w:val="000000" w:themeColor="text1"/>
        </w:rPr>
        <w:t>In order to</w:t>
      </w:r>
      <w:proofErr w:type="gramEnd"/>
      <w:r w:rsidRPr="006C1FAB">
        <w:rPr>
          <w:color w:val="000000" w:themeColor="text1"/>
        </w:rPr>
        <w:t xml:space="preserve"> understand the factors that could be associated with this behaviour, we have also carried out studies and relationships between those infected and the percentage of the population aged 65 and over, the number of homes for the elderly or the location of the health centres. The number of days elapsed since the first confirmed case in each municipality is also included. These results were </w:t>
      </w:r>
      <w:r w:rsidRPr="006C1FAB">
        <w:rPr>
          <w:color w:val="000000" w:themeColor="text1"/>
        </w:rPr>
        <w:lastRenderedPageBreak/>
        <w:t xml:space="preserve">submitted to SERGAS under the confidentiality agreement, and therefore cannot be published, but we do however use them to further the knowledge and objective of this work. In fact, we can affirm that the incidence rate ratio associated with rural municipalities was statistically higher. Consequently, and contrary to the comparison of the raw data (Table 1), </w:t>
      </w:r>
      <w:r w:rsidR="00D7343B" w:rsidRPr="006C1FAB">
        <w:rPr>
          <w:color w:val="000000" w:themeColor="text1"/>
        </w:rPr>
        <w:t xml:space="preserve">and </w:t>
      </w:r>
      <w:r w:rsidRPr="006C1FAB">
        <w:rPr>
          <w:color w:val="000000" w:themeColor="text1"/>
        </w:rPr>
        <w:t>analysing the effect of the variables mentioned above, a higher contagion rate is observed in the medium size municipalities (many rural) in relation with the most urban.</w:t>
      </w:r>
    </w:p>
    <w:p w14:paraId="12C7C4F0" w14:textId="3E91D83B" w:rsidR="009D53CE" w:rsidRPr="006C1FAB" w:rsidRDefault="00197752" w:rsidP="006C1FAB">
      <w:pPr>
        <w:spacing w:line="240" w:lineRule="auto"/>
        <w:ind w:left="-567" w:right="-851" w:firstLine="0"/>
        <w:rPr>
          <w:color w:val="000000" w:themeColor="text1"/>
        </w:rPr>
      </w:pPr>
      <w:r w:rsidRPr="006C1FAB">
        <w:rPr>
          <w:color w:val="000000" w:themeColor="text1"/>
        </w:rPr>
        <w:t xml:space="preserve">A possible reason for this result </w:t>
      </w:r>
      <w:r w:rsidR="0041449C" w:rsidRPr="006C1FAB">
        <w:rPr>
          <w:color w:val="000000" w:themeColor="text1"/>
        </w:rPr>
        <w:t>c</w:t>
      </w:r>
      <w:r w:rsidRPr="006C1FAB">
        <w:rPr>
          <w:color w:val="000000" w:themeColor="text1"/>
        </w:rPr>
        <w:t xml:space="preserve">ould be related to the fact that during the month of March and before strict lockdown measures were adopted, interactions in medium size and rural areas were less frequent, but more intense (in the family environment, much narrower circles of friends, etc.) than in urban areas, thus contributing to a greater spread of COVID-19. The fact that movements for work or study tend to be much </w:t>
      </w:r>
      <w:r w:rsidR="00A01716" w:rsidRPr="006C1FAB">
        <w:rPr>
          <w:color w:val="000000" w:themeColor="text1"/>
        </w:rPr>
        <w:t>greater</w:t>
      </w:r>
      <w:r w:rsidRPr="006C1FAB">
        <w:rPr>
          <w:color w:val="000000" w:themeColor="text1"/>
        </w:rPr>
        <w:t xml:space="preserve"> than in urban areas could also play a role. Another factor to </w:t>
      </w:r>
      <w:proofErr w:type="gramStart"/>
      <w:r w:rsidRPr="006C1FAB">
        <w:rPr>
          <w:color w:val="000000" w:themeColor="text1"/>
        </w:rPr>
        <w:t>take into account</w:t>
      </w:r>
      <w:proofErr w:type="gramEnd"/>
      <w:r w:rsidRPr="006C1FAB">
        <w:rPr>
          <w:color w:val="000000" w:themeColor="text1"/>
        </w:rPr>
        <w:t xml:space="preserve"> would be the possible effect of mobility for leisure reasons from urban areas to second </w:t>
      </w:r>
      <w:r w:rsidR="0041449C" w:rsidRPr="006C1FAB">
        <w:rPr>
          <w:color w:val="000000" w:themeColor="text1"/>
        </w:rPr>
        <w:t>residences</w:t>
      </w:r>
      <w:r w:rsidRPr="006C1FAB">
        <w:rPr>
          <w:color w:val="000000" w:themeColor="text1"/>
        </w:rPr>
        <w:t>, village family homes and tourist areas</w:t>
      </w:r>
      <w:r w:rsidR="00002651" w:rsidRPr="006C1FAB">
        <w:rPr>
          <w:rStyle w:val="Refdenotaalpie"/>
          <w:color w:val="000000" w:themeColor="text1"/>
        </w:rPr>
        <w:footnoteReference w:id="13"/>
      </w:r>
      <w:r w:rsidRPr="006C1FAB">
        <w:rPr>
          <w:color w:val="000000" w:themeColor="text1"/>
        </w:rPr>
        <w:t xml:space="preserve">. Many of </w:t>
      </w:r>
      <w:r w:rsidR="0041449C" w:rsidRPr="006C1FAB">
        <w:rPr>
          <w:color w:val="000000" w:themeColor="text1"/>
        </w:rPr>
        <w:t>which</w:t>
      </w:r>
      <w:r w:rsidRPr="006C1FAB">
        <w:rPr>
          <w:color w:val="000000" w:themeColor="text1"/>
        </w:rPr>
        <w:t xml:space="preserve"> are found in </w:t>
      </w:r>
      <w:r w:rsidR="00D7343B" w:rsidRPr="006C1FAB">
        <w:rPr>
          <w:color w:val="000000" w:themeColor="text1"/>
        </w:rPr>
        <w:t xml:space="preserve">medium size </w:t>
      </w:r>
      <w:r w:rsidRPr="006C1FAB">
        <w:rPr>
          <w:color w:val="000000" w:themeColor="text1"/>
        </w:rPr>
        <w:t>Galician municipalities. However, once the state of alarm began, social distancing and the reduction of work, study and leisure flows had an equal or greater impact than in urban areas, thus reducing its importance.</w:t>
      </w:r>
    </w:p>
    <w:p w14:paraId="14DAEF9A" w14:textId="77777777" w:rsidR="009D53CE" w:rsidRPr="006C1FAB" w:rsidRDefault="009D53CE" w:rsidP="006C1FAB">
      <w:pPr>
        <w:spacing w:line="240" w:lineRule="auto"/>
        <w:ind w:left="-567" w:right="-851" w:firstLine="0"/>
        <w:rPr>
          <w:color w:val="000000" w:themeColor="text1"/>
        </w:rPr>
      </w:pPr>
    </w:p>
    <w:p w14:paraId="2E269434" w14:textId="1ECE06D1" w:rsidR="009D53CE" w:rsidRPr="006C1FAB" w:rsidRDefault="00197752" w:rsidP="006C1FAB">
      <w:pPr>
        <w:pStyle w:val="P68B1DB1-Normal4"/>
        <w:spacing w:line="240" w:lineRule="auto"/>
        <w:ind w:left="-567" w:right="-851" w:firstLine="0"/>
        <w:rPr>
          <w:b w:val="0"/>
          <w:color w:val="000000" w:themeColor="text1"/>
        </w:rPr>
      </w:pPr>
      <w:r w:rsidRPr="006C1FAB">
        <w:rPr>
          <w:b w:val="0"/>
          <w:color w:val="000000" w:themeColor="text1"/>
        </w:rPr>
        <w:t>Conclusions</w:t>
      </w:r>
    </w:p>
    <w:p w14:paraId="19105DA5" w14:textId="1539982D" w:rsidR="009D53CE" w:rsidRPr="006C1FAB" w:rsidRDefault="00197752" w:rsidP="006C1FAB">
      <w:pPr>
        <w:spacing w:line="240" w:lineRule="auto"/>
        <w:ind w:left="-567" w:right="-851" w:firstLine="0"/>
        <w:rPr>
          <w:color w:val="000000" w:themeColor="text1"/>
        </w:rPr>
      </w:pPr>
      <w:r w:rsidRPr="006C1FAB">
        <w:rPr>
          <w:color w:val="000000" w:themeColor="text1"/>
        </w:rPr>
        <w:t xml:space="preserve">The results </w:t>
      </w:r>
      <w:r w:rsidR="0041449C" w:rsidRPr="006C1FAB">
        <w:rPr>
          <w:color w:val="000000" w:themeColor="text1"/>
        </w:rPr>
        <w:t>s</w:t>
      </w:r>
      <w:r w:rsidRPr="006C1FAB">
        <w:rPr>
          <w:color w:val="000000" w:themeColor="text1"/>
        </w:rPr>
        <w:t xml:space="preserve">tated in this work suggest that the differences observed between the medium size areas and small cities (more rural) and the rest (more urban) could hide a much more complex reality than </w:t>
      </w:r>
      <w:r w:rsidR="009A03EB" w:rsidRPr="006C1FAB">
        <w:rPr>
          <w:color w:val="000000" w:themeColor="text1"/>
        </w:rPr>
        <w:t xml:space="preserve">that </w:t>
      </w:r>
      <w:r w:rsidRPr="006C1FAB">
        <w:rPr>
          <w:color w:val="000000" w:themeColor="text1"/>
        </w:rPr>
        <w:t>shown by the comparison of the gross rates of contagion. Specifically, although rural areas have characteristics that make them more resistant to the spread of COVID-19, we saw how during the first weeks of the spread of the pandemic, the intensity of infections was higher in rural areas compared to urban areas. Therefore, given the experience derived from the expansive phase of the disease, outbreaks should not be neglected in any rural municipality since, due to the type of mobility and interactions existing in these areas, it could spread to a significant proportion of its population, bearing in mind that the degree of aging of the rural population is notably higher than that of the urban population, and that mobility and health capacities in rural areas are clearly lower than in urban areas.</w:t>
      </w:r>
    </w:p>
    <w:p w14:paraId="1719CA0D" w14:textId="5999B03D" w:rsidR="00AF1D46" w:rsidRPr="006C1FAB" w:rsidRDefault="00AF1D46" w:rsidP="006C1FAB">
      <w:pPr>
        <w:spacing w:line="240" w:lineRule="auto"/>
        <w:ind w:left="-567" w:right="-851" w:firstLine="0"/>
        <w:rPr>
          <w:color w:val="000000" w:themeColor="text1"/>
        </w:rPr>
      </w:pPr>
      <w:r w:rsidRPr="006C1FAB">
        <w:rPr>
          <w:color w:val="000000" w:themeColor="text1"/>
        </w:rPr>
        <w:lastRenderedPageBreak/>
        <w:t>In addition, in this work we verify and confirm several Galician realities related to the pandemic in its origins</w:t>
      </w:r>
      <w:r w:rsidR="00535263" w:rsidRPr="006C1FAB">
        <w:rPr>
          <w:color w:val="000000" w:themeColor="text1"/>
        </w:rPr>
        <w:t>, since its arrival and during the first wave</w:t>
      </w:r>
      <w:r w:rsidRPr="006C1FAB">
        <w:rPr>
          <w:color w:val="000000" w:themeColor="text1"/>
        </w:rPr>
        <w:t>:</w:t>
      </w:r>
    </w:p>
    <w:p w14:paraId="53691DB4" w14:textId="77777777" w:rsidR="00AF1D46" w:rsidRPr="006C1FAB" w:rsidRDefault="00AF1D46" w:rsidP="006C1FAB">
      <w:pPr>
        <w:spacing w:line="240" w:lineRule="auto"/>
        <w:ind w:left="-567" w:right="-851" w:firstLine="0"/>
        <w:rPr>
          <w:color w:val="000000" w:themeColor="text1"/>
        </w:rPr>
      </w:pPr>
      <w:r w:rsidRPr="006C1FAB">
        <w:rPr>
          <w:color w:val="000000" w:themeColor="text1"/>
        </w:rPr>
        <w:t>1. The pandemic always arrived a little later and with a lower degree of incidence in Galicia than in other areas of Spain.</w:t>
      </w:r>
    </w:p>
    <w:p w14:paraId="1B4454A7" w14:textId="77777777" w:rsidR="00535263" w:rsidRPr="006C1FAB" w:rsidRDefault="00AF1D46" w:rsidP="006C1FAB">
      <w:pPr>
        <w:spacing w:line="240" w:lineRule="auto"/>
        <w:ind w:left="-567" w:right="-851" w:firstLine="0"/>
        <w:rPr>
          <w:color w:val="000000" w:themeColor="text1"/>
          <w:lang w:val="en-US"/>
        </w:rPr>
      </w:pPr>
      <w:r w:rsidRPr="006C1FAB">
        <w:rPr>
          <w:color w:val="000000" w:themeColor="text1"/>
        </w:rPr>
        <w:t>2. It can also be interpreted that the Galician government took the initiative of the proposals that were made from the Autonomous Communities to the Central Government to coordinate the management of the pandemic.</w:t>
      </w:r>
      <w:r w:rsidR="00535263" w:rsidRPr="006C1FAB">
        <w:rPr>
          <w:color w:val="000000" w:themeColor="text1"/>
        </w:rPr>
        <w:t xml:space="preserve"> </w:t>
      </w:r>
      <w:r w:rsidR="00535263" w:rsidRPr="006C1FAB">
        <w:rPr>
          <w:color w:val="000000" w:themeColor="text1"/>
          <w:lang w:val="en"/>
        </w:rPr>
        <w:t>During the first half of 2020, the Spanish government held frequent meetings with the governments of autonomous communities. With the intention of coordinating joint and coordinated actions to combat the pandemic. In any case, in Spain the health competences were transmitted and managed from each autonomous community, 17 in total.</w:t>
      </w:r>
    </w:p>
    <w:p w14:paraId="1C575A8A" w14:textId="77777777" w:rsidR="00AF1D46" w:rsidRPr="006C1FAB" w:rsidRDefault="00AF1D46" w:rsidP="006C1FAB">
      <w:pPr>
        <w:spacing w:line="240" w:lineRule="auto"/>
        <w:ind w:left="-567" w:right="-851" w:firstLine="0"/>
        <w:rPr>
          <w:color w:val="000000" w:themeColor="text1"/>
        </w:rPr>
      </w:pPr>
      <w:r w:rsidRPr="006C1FAB">
        <w:rPr>
          <w:color w:val="000000" w:themeColor="text1"/>
        </w:rPr>
        <w:t>3. COVID-19 presented a territorial distribution very similar to that of the socioeconomic variables throughout the Galician territory. There was a greater number of infected in urban areas and their areas of influence, the pandemic followed the route of the Atlantic Urban Axis.</w:t>
      </w:r>
    </w:p>
    <w:p w14:paraId="3055EDA1" w14:textId="1E66E2A8" w:rsidR="00AF1D46" w:rsidRPr="006C1FAB" w:rsidRDefault="00AF1D46" w:rsidP="006C1FAB">
      <w:pPr>
        <w:spacing w:line="240" w:lineRule="auto"/>
        <w:ind w:left="-567" w:right="-851" w:firstLine="0"/>
        <w:rPr>
          <w:color w:val="000000" w:themeColor="text1"/>
        </w:rPr>
      </w:pPr>
      <w:r w:rsidRPr="006C1FAB">
        <w:rPr>
          <w:color w:val="000000" w:themeColor="text1"/>
        </w:rPr>
        <w:t>4. While the municipal capitals that socioeconomically structure the Galician rural territory had a lower incidence. To a large extent, due to demographic and density values that are not very high.</w:t>
      </w:r>
    </w:p>
    <w:p w14:paraId="51920F3D" w14:textId="5B4281C7" w:rsidR="00AF1D46" w:rsidRPr="006C1FAB" w:rsidRDefault="00AF1D46" w:rsidP="006C1FAB">
      <w:pPr>
        <w:spacing w:line="240" w:lineRule="auto"/>
        <w:ind w:left="-567" w:right="-851" w:firstLine="0"/>
        <w:rPr>
          <w:color w:val="000000" w:themeColor="text1"/>
        </w:rPr>
      </w:pPr>
      <w:r w:rsidRPr="006C1FAB">
        <w:rPr>
          <w:color w:val="000000" w:themeColor="text1"/>
        </w:rPr>
        <w:t xml:space="preserve">It should be noted that the maps and </w:t>
      </w:r>
      <w:proofErr w:type="spellStart"/>
      <w:r w:rsidRPr="006C1FAB">
        <w:rPr>
          <w:color w:val="000000" w:themeColor="text1"/>
        </w:rPr>
        <w:t>analyzes</w:t>
      </w:r>
      <w:proofErr w:type="spellEnd"/>
      <w:r w:rsidRPr="006C1FAB">
        <w:rPr>
          <w:color w:val="000000" w:themeColor="text1"/>
        </w:rPr>
        <w:t xml:space="preserve"> presented in this work are a sample of the importance of Geography and the study of the territory in the face of pandemics such as COVID-19. In fact, part of what was exposed in this work was presented throughout 2020 to the competent authorities related to the management of this health crisis in Galicia, becoming an authentic example of Applied Geography.</w:t>
      </w:r>
    </w:p>
    <w:p w14:paraId="21798AB5" w14:textId="77777777" w:rsidR="0097529C" w:rsidRPr="006C1FAB" w:rsidRDefault="0097529C" w:rsidP="006C1FAB">
      <w:pPr>
        <w:spacing w:line="240" w:lineRule="auto"/>
        <w:ind w:left="-567" w:right="-851" w:firstLine="0"/>
        <w:rPr>
          <w:color w:val="000000" w:themeColor="text1"/>
        </w:rPr>
      </w:pPr>
    </w:p>
    <w:p w14:paraId="2AD89EE2" w14:textId="77777777" w:rsidR="009D53CE" w:rsidRPr="006C1FAB" w:rsidRDefault="00197752" w:rsidP="006C1FAB">
      <w:pPr>
        <w:pStyle w:val="P68B1DB1-Normal4"/>
        <w:spacing w:line="240" w:lineRule="auto"/>
        <w:ind w:left="-567" w:right="-851" w:firstLine="0"/>
        <w:rPr>
          <w:b w:val="0"/>
          <w:color w:val="000000" w:themeColor="text1"/>
        </w:rPr>
      </w:pPr>
      <w:r w:rsidRPr="006C1FAB">
        <w:rPr>
          <w:b w:val="0"/>
          <w:color w:val="000000" w:themeColor="text1"/>
        </w:rPr>
        <w:t>References</w:t>
      </w:r>
    </w:p>
    <w:p w14:paraId="1920BCAC" w14:textId="1F7ACFD0" w:rsidR="001946D5" w:rsidRPr="006C1FAB" w:rsidRDefault="001946D5" w:rsidP="006C1FAB">
      <w:pPr>
        <w:spacing w:line="240" w:lineRule="auto"/>
        <w:ind w:left="-567" w:right="-851" w:firstLine="0"/>
        <w:rPr>
          <w:rFonts w:cs="Times New Roman"/>
          <w:color w:val="000000" w:themeColor="text1"/>
          <w:szCs w:val="24"/>
        </w:rPr>
      </w:pPr>
      <w:proofErr w:type="spellStart"/>
      <w:r w:rsidRPr="006C1FAB">
        <w:rPr>
          <w:rFonts w:cs="Times New Roman"/>
          <w:color w:val="000000" w:themeColor="text1"/>
          <w:szCs w:val="24"/>
          <w:lang w:val="fr-FR"/>
        </w:rPr>
        <w:t>Bercque</w:t>
      </w:r>
      <w:proofErr w:type="spellEnd"/>
      <w:r w:rsidRPr="006C1FAB">
        <w:rPr>
          <w:rFonts w:cs="Times New Roman"/>
          <w:color w:val="000000" w:themeColor="text1"/>
          <w:szCs w:val="24"/>
          <w:lang w:val="fr-FR"/>
        </w:rPr>
        <w:t xml:space="preserve"> A. (2010)</w:t>
      </w:r>
      <w:r w:rsidR="000A33D9" w:rsidRPr="006C1FAB">
        <w:rPr>
          <w:rFonts w:cs="Times New Roman"/>
          <w:color w:val="000000" w:themeColor="text1"/>
          <w:szCs w:val="24"/>
          <w:lang w:val="fr-FR"/>
        </w:rPr>
        <w:t>,</w:t>
      </w:r>
      <w:r w:rsidRPr="006C1FAB">
        <w:rPr>
          <w:rFonts w:cs="Times New Roman"/>
          <w:color w:val="000000" w:themeColor="text1"/>
          <w:szCs w:val="24"/>
          <w:lang w:val="fr-FR"/>
        </w:rPr>
        <w:t xml:space="preserve"> </w:t>
      </w:r>
      <w:r w:rsidRPr="006C1FAB">
        <w:rPr>
          <w:rFonts w:cs="Times New Roman"/>
          <w:i/>
          <w:color w:val="000000" w:themeColor="text1"/>
          <w:szCs w:val="24"/>
          <w:lang w:val="fr-FR"/>
        </w:rPr>
        <w:t>Histoire de l´habitat idéal – De l´Orient vers l´Occident</w:t>
      </w:r>
      <w:r w:rsidRPr="006C1FAB">
        <w:rPr>
          <w:rFonts w:cs="Times New Roman"/>
          <w:color w:val="000000" w:themeColor="text1"/>
          <w:szCs w:val="24"/>
          <w:lang w:val="fr-FR"/>
        </w:rPr>
        <w:t xml:space="preserve">. </w:t>
      </w:r>
      <w:r w:rsidRPr="006C1FAB">
        <w:rPr>
          <w:rFonts w:cs="Times New Roman"/>
          <w:color w:val="000000" w:themeColor="text1"/>
          <w:szCs w:val="24"/>
        </w:rPr>
        <w:t xml:space="preserve">Paris: </w:t>
      </w:r>
      <w:proofErr w:type="spellStart"/>
      <w:r w:rsidRPr="006C1FAB">
        <w:rPr>
          <w:rFonts w:cs="Times New Roman"/>
          <w:color w:val="000000" w:themeColor="text1"/>
          <w:szCs w:val="24"/>
        </w:rPr>
        <w:t>Félin</w:t>
      </w:r>
      <w:proofErr w:type="spellEnd"/>
      <w:r w:rsidRPr="006C1FAB">
        <w:rPr>
          <w:rFonts w:cs="Times New Roman"/>
          <w:color w:val="000000" w:themeColor="text1"/>
          <w:szCs w:val="24"/>
        </w:rPr>
        <w:t xml:space="preserve">. </w:t>
      </w:r>
    </w:p>
    <w:p w14:paraId="5C3FEF90" w14:textId="519F8C90" w:rsidR="008E2893" w:rsidRPr="006C1FAB" w:rsidRDefault="008E2893" w:rsidP="006C1FAB">
      <w:pPr>
        <w:spacing w:line="240" w:lineRule="auto"/>
        <w:ind w:left="-567" w:right="-851" w:firstLine="0"/>
        <w:rPr>
          <w:rFonts w:cs="Times New Roman"/>
          <w:color w:val="000000" w:themeColor="text1"/>
          <w:szCs w:val="24"/>
          <w:lang w:val="fr-FR"/>
        </w:rPr>
      </w:pPr>
      <w:proofErr w:type="spellStart"/>
      <w:r w:rsidRPr="006C1FAB">
        <w:rPr>
          <w:rFonts w:cs="Times New Roman"/>
          <w:color w:val="000000" w:themeColor="text1"/>
          <w:szCs w:val="24"/>
          <w:lang w:val="fr-FR"/>
        </w:rPr>
        <w:t>Carballada</w:t>
      </w:r>
      <w:proofErr w:type="spellEnd"/>
      <w:r w:rsidRPr="006C1FAB">
        <w:rPr>
          <w:rFonts w:cs="Times New Roman"/>
          <w:color w:val="000000" w:themeColor="text1"/>
          <w:szCs w:val="24"/>
          <w:lang w:val="fr-FR"/>
        </w:rPr>
        <w:t xml:space="preserve"> A</w:t>
      </w:r>
      <w:r w:rsidR="000A33D9" w:rsidRPr="006C1FAB">
        <w:rPr>
          <w:rFonts w:cs="Times New Roman"/>
          <w:color w:val="000000" w:themeColor="text1"/>
          <w:szCs w:val="24"/>
          <w:lang w:val="fr-FR"/>
        </w:rPr>
        <w:t>.</w:t>
      </w:r>
      <w:r w:rsidRPr="006C1FAB">
        <w:rPr>
          <w:rFonts w:cs="Times New Roman"/>
          <w:color w:val="000000" w:themeColor="text1"/>
          <w:szCs w:val="24"/>
          <w:lang w:val="fr-FR"/>
        </w:rPr>
        <w:t xml:space="preserve"> M.</w:t>
      </w:r>
      <w:r w:rsidR="000A33D9" w:rsidRPr="006C1FAB">
        <w:rPr>
          <w:rFonts w:cs="Times New Roman"/>
          <w:color w:val="000000" w:themeColor="text1"/>
          <w:szCs w:val="24"/>
          <w:lang w:val="fr-FR"/>
        </w:rPr>
        <w:t>,</w:t>
      </w:r>
      <w:r w:rsidRPr="006C1FAB">
        <w:rPr>
          <w:rFonts w:cs="Times New Roman"/>
          <w:color w:val="000000" w:themeColor="text1"/>
          <w:szCs w:val="24"/>
          <w:lang w:val="fr-FR"/>
        </w:rPr>
        <w:t xml:space="preserve"> Balsa-Barreiro</w:t>
      </w:r>
      <w:r w:rsidR="000A33D9" w:rsidRPr="006C1FAB">
        <w:rPr>
          <w:rFonts w:cs="Times New Roman"/>
          <w:color w:val="000000" w:themeColor="text1"/>
          <w:szCs w:val="24"/>
          <w:lang w:val="fr-FR"/>
        </w:rPr>
        <w:t xml:space="preserve"> J.</w:t>
      </w:r>
      <w:r w:rsidRPr="006C1FAB">
        <w:rPr>
          <w:rFonts w:cs="Times New Roman"/>
          <w:color w:val="000000" w:themeColor="text1"/>
          <w:szCs w:val="24"/>
          <w:lang w:val="fr-FR"/>
        </w:rPr>
        <w:t xml:space="preserve"> </w:t>
      </w:r>
      <w:r w:rsidR="000A33D9" w:rsidRPr="006C1FAB">
        <w:rPr>
          <w:rFonts w:cs="Times New Roman"/>
          <w:color w:val="000000" w:themeColor="text1"/>
          <w:szCs w:val="24"/>
          <w:lang w:val="fr-FR"/>
        </w:rPr>
        <w:t>(</w:t>
      </w:r>
      <w:r w:rsidRPr="006C1FAB">
        <w:rPr>
          <w:rFonts w:cs="Times New Roman"/>
          <w:color w:val="000000" w:themeColor="text1"/>
          <w:szCs w:val="24"/>
          <w:lang w:val="fr-FR"/>
        </w:rPr>
        <w:t>2021</w:t>
      </w:r>
      <w:r w:rsidR="000A33D9" w:rsidRPr="006C1FAB">
        <w:rPr>
          <w:rFonts w:cs="Times New Roman"/>
          <w:color w:val="000000" w:themeColor="text1"/>
          <w:szCs w:val="24"/>
          <w:lang w:val="fr-FR"/>
        </w:rPr>
        <w:t xml:space="preserve">), </w:t>
      </w:r>
      <w:proofErr w:type="spellStart"/>
      <w:r w:rsidRPr="006C1FAB">
        <w:rPr>
          <w:rFonts w:cs="Times New Roman"/>
          <w:i/>
          <w:iCs/>
          <w:color w:val="000000" w:themeColor="text1"/>
          <w:szCs w:val="24"/>
          <w:lang w:val="fr-FR"/>
        </w:rPr>
        <w:t>Geospatial</w:t>
      </w:r>
      <w:proofErr w:type="spellEnd"/>
      <w:r w:rsidRPr="006C1FAB">
        <w:rPr>
          <w:rFonts w:cs="Times New Roman"/>
          <w:i/>
          <w:iCs/>
          <w:color w:val="000000" w:themeColor="text1"/>
          <w:szCs w:val="24"/>
          <w:lang w:val="fr-FR"/>
        </w:rPr>
        <w:t xml:space="preserve"> </w:t>
      </w:r>
      <w:proofErr w:type="spellStart"/>
      <w:r w:rsidRPr="006C1FAB">
        <w:rPr>
          <w:rFonts w:cs="Times New Roman"/>
          <w:i/>
          <w:iCs/>
          <w:color w:val="000000" w:themeColor="text1"/>
          <w:szCs w:val="24"/>
          <w:lang w:val="fr-FR"/>
        </w:rPr>
        <w:t>Analysis</w:t>
      </w:r>
      <w:proofErr w:type="spellEnd"/>
      <w:r w:rsidRPr="006C1FAB">
        <w:rPr>
          <w:rFonts w:cs="Times New Roman"/>
          <w:i/>
          <w:iCs/>
          <w:color w:val="000000" w:themeColor="text1"/>
          <w:szCs w:val="24"/>
          <w:lang w:val="fr-FR"/>
        </w:rPr>
        <w:t xml:space="preserve"> and Mapping </w:t>
      </w:r>
      <w:proofErr w:type="spellStart"/>
      <w:r w:rsidRPr="006C1FAB">
        <w:rPr>
          <w:rFonts w:cs="Times New Roman"/>
          <w:i/>
          <w:iCs/>
          <w:color w:val="000000" w:themeColor="text1"/>
          <w:szCs w:val="24"/>
          <w:lang w:val="fr-FR"/>
        </w:rPr>
        <w:t>Strategies</w:t>
      </w:r>
      <w:proofErr w:type="spellEnd"/>
      <w:r w:rsidRPr="006C1FAB">
        <w:rPr>
          <w:rFonts w:cs="Times New Roman"/>
          <w:i/>
          <w:iCs/>
          <w:color w:val="000000" w:themeColor="text1"/>
          <w:szCs w:val="24"/>
          <w:lang w:val="fr-FR"/>
        </w:rPr>
        <w:t xml:space="preserve"> for Fine-</w:t>
      </w:r>
      <w:proofErr w:type="spellStart"/>
      <w:r w:rsidRPr="006C1FAB">
        <w:rPr>
          <w:rFonts w:cs="Times New Roman"/>
          <w:i/>
          <w:iCs/>
          <w:color w:val="000000" w:themeColor="text1"/>
          <w:szCs w:val="24"/>
          <w:lang w:val="fr-FR"/>
        </w:rPr>
        <w:t>Grained</w:t>
      </w:r>
      <w:proofErr w:type="spellEnd"/>
      <w:r w:rsidRPr="006C1FAB">
        <w:rPr>
          <w:rFonts w:cs="Times New Roman"/>
          <w:i/>
          <w:iCs/>
          <w:color w:val="000000" w:themeColor="text1"/>
          <w:szCs w:val="24"/>
          <w:lang w:val="fr-FR"/>
        </w:rPr>
        <w:t xml:space="preserve"> and </w:t>
      </w:r>
      <w:proofErr w:type="spellStart"/>
      <w:r w:rsidRPr="006C1FAB">
        <w:rPr>
          <w:rFonts w:cs="Times New Roman"/>
          <w:i/>
          <w:iCs/>
          <w:color w:val="000000" w:themeColor="text1"/>
          <w:szCs w:val="24"/>
          <w:lang w:val="fr-FR"/>
        </w:rPr>
        <w:t>Detailed</w:t>
      </w:r>
      <w:proofErr w:type="spellEnd"/>
      <w:r w:rsidRPr="006C1FAB">
        <w:rPr>
          <w:rFonts w:cs="Times New Roman"/>
          <w:i/>
          <w:iCs/>
          <w:color w:val="000000" w:themeColor="text1"/>
          <w:szCs w:val="24"/>
          <w:lang w:val="fr-FR"/>
        </w:rPr>
        <w:t xml:space="preserve"> COVID-19 Data </w:t>
      </w:r>
      <w:proofErr w:type="spellStart"/>
      <w:r w:rsidRPr="006C1FAB">
        <w:rPr>
          <w:rFonts w:cs="Times New Roman"/>
          <w:i/>
          <w:iCs/>
          <w:color w:val="000000" w:themeColor="text1"/>
          <w:szCs w:val="24"/>
          <w:lang w:val="fr-FR"/>
        </w:rPr>
        <w:t>with</w:t>
      </w:r>
      <w:proofErr w:type="spellEnd"/>
      <w:r w:rsidRPr="006C1FAB">
        <w:rPr>
          <w:rFonts w:cs="Times New Roman"/>
          <w:i/>
          <w:iCs/>
          <w:color w:val="000000" w:themeColor="text1"/>
          <w:szCs w:val="24"/>
          <w:lang w:val="fr-FR"/>
        </w:rPr>
        <w:t xml:space="preserve"> GIS</w:t>
      </w:r>
      <w:r w:rsidR="000A33D9" w:rsidRPr="006C1FAB">
        <w:rPr>
          <w:rFonts w:cs="Times New Roman"/>
          <w:color w:val="000000" w:themeColor="text1"/>
          <w:szCs w:val="24"/>
          <w:lang w:val="fr-FR"/>
        </w:rPr>
        <w:t xml:space="preserve">, </w:t>
      </w:r>
      <w:r w:rsidRPr="006C1FAB">
        <w:rPr>
          <w:rFonts w:cs="Times New Roman"/>
          <w:color w:val="000000" w:themeColor="text1"/>
          <w:szCs w:val="24"/>
          <w:lang w:val="fr-FR"/>
        </w:rPr>
        <w:t xml:space="preserve">ISPRS International Journal of </w:t>
      </w:r>
      <w:proofErr w:type="spellStart"/>
      <w:r w:rsidRPr="006C1FAB">
        <w:rPr>
          <w:rFonts w:cs="Times New Roman"/>
          <w:color w:val="000000" w:themeColor="text1"/>
          <w:szCs w:val="24"/>
          <w:lang w:val="fr-FR"/>
        </w:rPr>
        <w:t>Geo</w:t>
      </w:r>
      <w:proofErr w:type="spellEnd"/>
      <w:r w:rsidRPr="006C1FAB">
        <w:rPr>
          <w:rFonts w:cs="Times New Roman"/>
          <w:color w:val="000000" w:themeColor="text1"/>
          <w:szCs w:val="24"/>
          <w:lang w:val="fr-FR"/>
        </w:rPr>
        <w:t>-Information</w:t>
      </w:r>
      <w:r w:rsidR="000A33D9" w:rsidRPr="006C1FAB">
        <w:rPr>
          <w:rFonts w:cs="Times New Roman"/>
          <w:color w:val="000000" w:themeColor="text1"/>
          <w:szCs w:val="24"/>
          <w:lang w:val="fr-FR"/>
        </w:rPr>
        <w:t xml:space="preserve"> </w:t>
      </w:r>
      <w:r w:rsidRPr="006C1FAB">
        <w:rPr>
          <w:rFonts w:cs="Times New Roman"/>
          <w:color w:val="000000" w:themeColor="text1"/>
          <w:szCs w:val="24"/>
          <w:lang w:val="fr-FR"/>
        </w:rPr>
        <w:t xml:space="preserve">10, no. </w:t>
      </w:r>
      <w:proofErr w:type="gramStart"/>
      <w:r w:rsidRPr="006C1FAB">
        <w:rPr>
          <w:rFonts w:cs="Times New Roman"/>
          <w:color w:val="000000" w:themeColor="text1"/>
          <w:szCs w:val="24"/>
          <w:lang w:val="fr-FR"/>
        </w:rPr>
        <w:t>9:</w:t>
      </w:r>
      <w:proofErr w:type="gramEnd"/>
      <w:r w:rsidRPr="006C1FAB">
        <w:rPr>
          <w:rFonts w:cs="Times New Roman"/>
          <w:color w:val="000000" w:themeColor="text1"/>
          <w:szCs w:val="24"/>
          <w:lang w:val="fr-FR"/>
        </w:rPr>
        <w:t xml:space="preserve"> 602. </w:t>
      </w:r>
      <w:hyperlink r:id="rId8" w:history="1">
        <w:r w:rsidR="000A33D9" w:rsidRPr="006C1FAB">
          <w:rPr>
            <w:rStyle w:val="Hipervnculo"/>
            <w:rFonts w:cs="Times New Roman"/>
            <w:color w:val="000000" w:themeColor="text1"/>
            <w:szCs w:val="24"/>
            <w:lang w:val="fr-FR"/>
          </w:rPr>
          <w:t>https://doi.org/10.3390/ijgi10090602</w:t>
        </w:r>
      </w:hyperlink>
      <w:r w:rsidR="000A33D9" w:rsidRPr="006C1FAB">
        <w:rPr>
          <w:rFonts w:cs="Times New Roman"/>
          <w:color w:val="000000" w:themeColor="text1"/>
          <w:szCs w:val="24"/>
          <w:lang w:val="fr-FR"/>
        </w:rPr>
        <w:t xml:space="preserve"> </w:t>
      </w:r>
    </w:p>
    <w:p w14:paraId="4B0E0E39" w14:textId="1495EF63" w:rsidR="00465D66" w:rsidRPr="006C1FAB" w:rsidRDefault="00465D66" w:rsidP="006C1FAB">
      <w:pPr>
        <w:spacing w:line="240" w:lineRule="auto"/>
        <w:ind w:left="-567" w:right="-851" w:firstLine="0"/>
        <w:rPr>
          <w:rFonts w:cs="Times New Roman"/>
          <w:color w:val="000000" w:themeColor="text1"/>
          <w:szCs w:val="24"/>
          <w:lang w:val="fr-FR"/>
        </w:rPr>
      </w:pPr>
      <w:proofErr w:type="spellStart"/>
      <w:r w:rsidRPr="006C1FAB">
        <w:rPr>
          <w:rFonts w:cs="Times New Roman"/>
          <w:color w:val="000000" w:themeColor="text1"/>
          <w:szCs w:val="24"/>
          <w:lang w:val="fr-FR"/>
        </w:rPr>
        <w:t>Carballosa</w:t>
      </w:r>
      <w:proofErr w:type="spellEnd"/>
      <w:r w:rsidRPr="006C1FAB">
        <w:rPr>
          <w:rFonts w:cs="Times New Roman"/>
          <w:color w:val="000000" w:themeColor="text1"/>
          <w:szCs w:val="24"/>
          <w:lang w:val="fr-FR"/>
        </w:rPr>
        <w:t xml:space="preserve"> A., Balsa-Barreiro J., </w:t>
      </w:r>
      <w:proofErr w:type="spellStart"/>
      <w:r w:rsidRPr="006C1FAB">
        <w:rPr>
          <w:rFonts w:cs="Times New Roman"/>
          <w:color w:val="000000" w:themeColor="text1"/>
          <w:szCs w:val="24"/>
          <w:lang w:val="fr-FR"/>
        </w:rPr>
        <w:t>Garea</w:t>
      </w:r>
      <w:proofErr w:type="spellEnd"/>
      <w:r w:rsidRPr="006C1FAB">
        <w:rPr>
          <w:rFonts w:cs="Times New Roman"/>
          <w:color w:val="000000" w:themeColor="text1"/>
          <w:szCs w:val="24"/>
          <w:lang w:val="fr-FR"/>
        </w:rPr>
        <w:t xml:space="preserve"> A.</w:t>
      </w:r>
      <w:r w:rsidR="00BE0B2C" w:rsidRPr="006C1FAB">
        <w:rPr>
          <w:rFonts w:cs="Times New Roman"/>
          <w:color w:val="000000" w:themeColor="text1"/>
          <w:szCs w:val="24"/>
          <w:lang w:val="fr-FR"/>
        </w:rPr>
        <w:t>, García-</w:t>
      </w:r>
      <w:proofErr w:type="spellStart"/>
      <w:r w:rsidR="00BE0B2C" w:rsidRPr="006C1FAB">
        <w:rPr>
          <w:rFonts w:cs="Times New Roman"/>
          <w:color w:val="000000" w:themeColor="text1"/>
          <w:szCs w:val="24"/>
          <w:lang w:val="fr-FR"/>
        </w:rPr>
        <w:t>Selfa</w:t>
      </w:r>
      <w:proofErr w:type="spellEnd"/>
      <w:r w:rsidR="00BE0B2C" w:rsidRPr="006C1FAB">
        <w:rPr>
          <w:rFonts w:cs="Times New Roman"/>
          <w:color w:val="000000" w:themeColor="text1"/>
          <w:szCs w:val="24"/>
          <w:lang w:val="fr-FR"/>
        </w:rPr>
        <w:t xml:space="preserve"> D., Miramontes A</w:t>
      </w:r>
      <w:r w:rsidR="0097529C" w:rsidRPr="006C1FAB">
        <w:rPr>
          <w:rFonts w:cs="Times New Roman"/>
          <w:color w:val="000000" w:themeColor="text1"/>
          <w:szCs w:val="24"/>
          <w:lang w:val="fr-FR"/>
        </w:rPr>
        <w:t xml:space="preserve">, </w:t>
      </w:r>
      <w:proofErr w:type="spellStart"/>
      <w:r w:rsidR="00BE0B2C" w:rsidRPr="006C1FAB">
        <w:rPr>
          <w:rFonts w:cs="Times New Roman"/>
          <w:color w:val="000000" w:themeColor="text1"/>
          <w:szCs w:val="24"/>
          <w:lang w:val="fr-FR"/>
        </w:rPr>
        <w:t>Muñuzuri</w:t>
      </w:r>
      <w:proofErr w:type="spellEnd"/>
      <w:r w:rsidR="00BE0B2C" w:rsidRPr="006C1FAB">
        <w:rPr>
          <w:rFonts w:cs="Times New Roman"/>
          <w:color w:val="000000" w:themeColor="text1"/>
          <w:szCs w:val="24"/>
          <w:lang w:val="fr-FR"/>
        </w:rPr>
        <w:t xml:space="preserve"> A</w:t>
      </w:r>
      <w:r w:rsidRPr="006C1FAB">
        <w:rPr>
          <w:rFonts w:cs="Times New Roman"/>
          <w:color w:val="000000" w:themeColor="text1"/>
          <w:szCs w:val="24"/>
          <w:lang w:val="fr-FR"/>
        </w:rPr>
        <w:t>.</w:t>
      </w:r>
      <w:r w:rsidR="004D5A7E" w:rsidRPr="006C1FAB">
        <w:rPr>
          <w:rFonts w:cs="Times New Roman"/>
          <w:color w:val="000000" w:themeColor="text1"/>
          <w:szCs w:val="24"/>
          <w:lang w:val="fr-FR"/>
        </w:rPr>
        <w:t xml:space="preserve"> (2021),</w:t>
      </w:r>
      <w:r w:rsidR="00BE0B2C" w:rsidRPr="006C1FAB">
        <w:rPr>
          <w:rFonts w:cs="Times New Roman"/>
          <w:color w:val="000000" w:themeColor="text1"/>
          <w:szCs w:val="24"/>
          <w:lang w:val="fr-FR"/>
        </w:rPr>
        <w:t xml:space="preserve"> </w:t>
      </w:r>
      <w:r w:rsidRPr="006C1FAB">
        <w:rPr>
          <w:rFonts w:cs="Times New Roman"/>
          <w:i/>
          <w:iCs/>
          <w:color w:val="000000" w:themeColor="text1"/>
          <w:szCs w:val="24"/>
          <w:lang w:val="fr-FR"/>
        </w:rPr>
        <w:t xml:space="preserve">Risk </w:t>
      </w:r>
      <w:proofErr w:type="spellStart"/>
      <w:r w:rsidRPr="006C1FAB">
        <w:rPr>
          <w:rFonts w:cs="Times New Roman"/>
          <w:i/>
          <w:iCs/>
          <w:color w:val="000000" w:themeColor="text1"/>
          <w:szCs w:val="24"/>
          <w:lang w:val="fr-FR"/>
        </w:rPr>
        <w:t>evaluation</w:t>
      </w:r>
      <w:proofErr w:type="spellEnd"/>
      <w:r w:rsidRPr="006C1FAB">
        <w:rPr>
          <w:rFonts w:cs="Times New Roman"/>
          <w:i/>
          <w:iCs/>
          <w:color w:val="000000" w:themeColor="text1"/>
          <w:szCs w:val="24"/>
          <w:lang w:val="fr-FR"/>
        </w:rPr>
        <w:t xml:space="preserve"> at </w:t>
      </w:r>
      <w:proofErr w:type="spellStart"/>
      <w:r w:rsidRPr="006C1FAB">
        <w:rPr>
          <w:rFonts w:cs="Times New Roman"/>
          <w:i/>
          <w:iCs/>
          <w:color w:val="000000" w:themeColor="text1"/>
          <w:szCs w:val="24"/>
          <w:lang w:val="fr-FR"/>
        </w:rPr>
        <w:t>municipality</w:t>
      </w:r>
      <w:proofErr w:type="spellEnd"/>
      <w:r w:rsidRPr="006C1FAB">
        <w:rPr>
          <w:rFonts w:cs="Times New Roman"/>
          <w:i/>
          <w:iCs/>
          <w:color w:val="000000" w:themeColor="text1"/>
          <w:szCs w:val="24"/>
          <w:lang w:val="fr-FR"/>
        </w:rPr>
        <w:t xml:space="preserve"> </w:t>
      </w:r>
      <w:proofErr w:type="spellStart"/>
      <w:r w:rsidRPr="006C1FAB">
        <w:rPr>
          <w:rFonts w:cs="Times New Roman"/>
          <w:i/>
          <w:iCs/>
          <w:color w:val="000000" w:themeColor="text1"/>
          <w:szCs w:val="24"/>
          <w:lang w:val="fr-FR"/>
        </w:rPr>
        <w:t>level</w:t>
      </w:r>
      <w:proofErr w:type="spellEnd"/>
      <w:r w:rsidRPr="006C1FAB">
        <w:rPr>
          <w:rFonts w:cs="Times New Roman"/>
          <w:i/>
          <w:iCs/>
          <w:color w:val="000000" w:themeColor="text1"/>
          <w:szCs w:val="24"/>
          <w:lang w:val="fr-FR"/>
        </w:rPr>
        <w:t xml:space="preserve"> of a COVID-19 </w:t>
      </w:r>
      <w:proofErr w:type="spellStart"/>
      <w:r w:rsidRPr="006C1FAB">
        <w:rPr>
          <w:rFonts w:cs="Times New Roman"/>
          <w:i/>
          <w:iCs/>
          <w:color w:val="000000" w:themeColor="text1"/>
          <w:szCs w:val="24"/>
          <w:lang w:val="fr-FR"/>
        </w:rPr>
        <w:t>outbreak</w:t>
      </w:r>
      <w:proofErr w:type="spellEnd"/>
      <w:r w:rsidRPr="006C1FAB">
        <w:rPr>
          <w:rFonts w:cs="Times New Roman"/>
          <w:i/>
          <w:iCs/>
          <w:color w:val="000000" w:themeColor="text1"/>
          <w:szCs w:val="24"/>
          <w:lang w:val="fr-FR"/>
        </w:rPr>
        <w:t xml:space="preserve"> </w:t>
      </w:r>
      <w:proofErr w:type="spellStart"/>
      <w:r w:rsidRPr="006C1FAB">
        <w:rPr>
          <w:rFonts w:cs="Times New Roman"/>
          <w:i/>
          <w:iCs/>
          <w:color w:val="000000" w:themeColor="text1"/>
          <w:szCs w:val="24"/>
          <w:lang w:val="fr-FR"/>
        </w:rPr>
        <w:t>incorporating</w:t>
      </w:r>
      <w:proofErr w:type="spellEnd"/>
      <w:r w:rsidRPr="006C1FAB">
        <w:rPr>
          <w:rFonts w:cs="Times New Roman"/>
          <w:i/>
          <w:iCs/>
          <w:color w:val="000000" w:themeColor="text1"/>
          <w:szCs w:val="24"/>
          <w:lang w:val="fr-FR"/>
        </w:rPr>
        <w:t xml:space="preserve"> relevant </w:t>
      </w:r>
      <w:proofErr w:type="spellStart"/>
      <w:r w:rsidRPr="006C1FAB">
        <w:rPr>
          <w:rFonts w:cs="Times New Roman"/>
          <w:i/>
          <w:iCs/>
          <w:color w:val="000000" w:themeColor="text1"/>
          <w:szCs w:val="24"/>
          <w:lang w:val="fr-FR"/>
        </w:rPr>
        <w:t>geographic</w:t>
      </w:r>
      <w:proofErr w:type="spellEnd"/>
      <w:r w:rsidRPr="006C1FAB">
        <w:rPr>
          <w:rFonts w:cs="Times New Roman"/>
          <w:i/>
          <w:iCs/>
          <w:color w:val="000000" w:themeColor="text1"/>
          <w:szCs w:val="24"/>
          <w:lang w:val="fr-FR"/>
        </w:rPr>
        <w:t xml:space="preserve"> </w:t>
      </w:r>
      <w:proofErr w:type="gramStart"/>
      <w:r w:rsidRPr="006C1FAB">
        <w:rPr>
          <w:rFonts w:cs="Times New Roman"/>
          <w:i/>
          <w:iCs/>
          <w:color w:val="000000" w:themeColor="text1"/>
          <w:szCs w:val="24"/>
          <w:lang w:val="fr-FR"/>
        </w:rPr>
        <w:t>data:</w:t>
      </w:r>
      <w:proofErr w:type="gramEnd"/>
      <w:r w:rsidRPr="006C1FAB">
        <w:rPr>
          <w:rFonts w:cs="Times New Roman"/>
          <w:i/>
          <w:iCs/>
          <w:color w:val="000000" w:themeColor="text1"/>
          <w:szCs w:val="24"/>
          <w:lang w:val="fr-FR"/>
        </w:rPr>
        <w:t xml:space="preserve"> the </w:t>
      </w:r>
      <w:proofErr w:type="spellStart"/>
      <w:r w:rsidRPr="006C1FAB">
        <w:rPr>
          <w:rFonts w:cs="Times New Roman"/>
          <w:i/>
          <w:iCs/>
          <w:color w:val="000000" w:themeColor="text1"/>
          <w:szCs w:val="24"/>
          <w:lang w:val="fr-FR"/>
        </w:rPr>
        <w:t>study</w:t>
      </w:r>
      <w:proofErr w:type="spellEnd"/>
      <w:r w:rsidRPr="006C1FAB">
        <w:rPr>
          <w:rFonts w:cs="Times New Roman"/>
          <w:i/>
          <w:iCs/>
          <w:color w:val="000000" w:themeColor="text1"/>
          <w:szCs w:val="24"/>
          <w:lang w:val="fr-FR"/>
        </w:rPr>
        <w:t xml:space="preserve"> case of Galicia</w:t>
      </w:r>
      <w:r w:rsidRPr="006C1FAB">
        <w:rPr>
          <w:rFonts w:cs="Times New Roman"/>
          <w:color w:val="000000" w:themeColor="text1"/>
          <w:szCs w:val="24"/>
          <w:lang w:val="fr-FR"/>
        </w:rPr>
        <w:t>.</w:t>
      </w:r>
      <w:r w:rsidR="004D5A7E" w:rsidRPr="006C1FAB">
        <w:rPr>
          <w:rFonts w:cs="Times New Roman"/>
          <w:color w:val="000000" w:themeColor="text1"/>
          <w:szCs w:val="24"/>
          <w:lang w:val="fr-FR"/>
        </w:rPr>
        <w:t xml:space="preserve"> </w:t>
      </w:r>
      <w:r w:rsidR="004D5A7E" w:rsidRPr="006C1FAB">
        <w:rPr>
          <w:rFonts w:cs="Times New Roman"/>
          <w:color w:val="000000" w:themeColor="text1"/>
          <w:szCs w:val="24"/>
          <w:lang w:val="fr-FR"/>
        </w:rPr>
        <w:lastRenderedPageBreak/>
        <w:t xml:space="preserve">Nature, </w:t>
      </w:r>
      <w:r w:rsidRPr="006C1FAB">
        <w:rPr>
          <w:rFonts w:cs="Times New Roman"/>
          <w:color w:val="000000" w:themeColor="text1"/>
          <w:szCs w:val="24"/>
          <w:lang w:val="fr-FR"/>
        </w:rPr>
        <w:t>Sci</w:t>
      </w:r>
      <w:r w:rsidR="004D5A7E" w:rsidRPr="006C1FAB">
        <w:rPr>
          <w:rFonts w:cs="Times New Roman"/>
          <w:color w:val="000000" w:themeColor="text1"/>
          <w:szCs w:val="24"/>
          <w:lang w:val="fr-FR"/>
        </w:rPr>
        <w:t>entific</w:t>
      </w:r>
      <w:r w:rsidRPr="006C1FAB">
        <w:rPr>
          <w:rFonts w:cs="Times New Roman"/>
          <w:color w:val="000000" w:themeColor="text1"/>
          <w:szCs w:val="24"/>
          <w:lang w:val="fr-FR"/>
        </w:rPr>
        <w:t xml:space="preserve"> Re</w:t>
      </w:r>
      <w:r w:rsidR="004D5A7E" w:rsidRPr="006C1FAB">
        <w:rPr>
          <w:rFonts w:cs="Times New Roman"/>
          <w:color w:val="000000" w:themeColor="text1"/>
          <w:szCs w:val="24"/>
          <w:lang w:val="fr-FR"/>
        </w:rPr>
        <w:t>port</w:t>
      </w:r>
      <w:r w:rsidR="0097529C" w:rsidRPr="006C1FAB">
        <w:rPr>
          <w:rFonts w:cs="Times New Roman"/>
          <w:color w:val="000000" w:themeColor="text1"/>
          <w:szCs w:val="24"/>
          <w:lang w:val="fr-FR"/>
        </w:rPr>
        <w:t>s</w:t>
      </w:r>
      <w:r w:rsidR="004D5A7E" w:rsidRPr="006C1FAB">
        <w:rPr>
          <w:rFonts w:cs="Times New Roman"/>
          <w:color w:val="000000" w:themeColor="text1"/>
          <w:szCs w:val="24"/>
          <w:lang w:val="fr-FR"/>
        </w:rPr>
        <w:t xml:space="preserve">, </w:t>
      </w:r>
      <w:r w:rsidRPr="006C1FAB">
        <w:rPr>
          <w:rFonts w:cs="Times New Roman"/>
          <w:color w:val="000000" w:themeColor="text1"/>
          <w:szCs w:val="24"/>
          <w:lang w:val="fr-FR"/>
        </w:rPr>
        <w:t>11,</w:t>
      </w:r>
      <w:r w:rsidR="004D5A7E" w:rsidRPr="006C1FAB">
        <w:rPr>
          <w:rFonts w:cs="Times New Roman"/>
          <w:color w:val="000000" w:themeColor="text1"/>
          <w:szCs w:val="24"/>
          <w:lang w:val="fr-FR"/>
        </w:rPr>
        <w:t xml:space="preserve"> </w:t>
      </w:r>
      <w:r w:rsidRPr="006C1FAB">
        <w:rPr>
          <w:rFonts w:cs="Times New Roman"/>
          <w:color w:val="000000" w:themeColor="text1"/>
          <w:szCs w:val="24"/>
          <w:lang w:val="fr-FR"/>
        </w:rPr>
        <w:t xml:space="preserve">21248 </w:t>
      </w:r>
      <w:hyperlink r:id="rId9" w:history="1">
        <w:r w:rsidR="004D5A7E" w:rsidRPr="006C1FAB">
          <w:rPr>
            <w:rStyle w:val="Hipervnculo"/>
            <w:rFonts w:cs="Times New Roman"/>
            <w:color w:val="000000" w:themeColor="text1"/>
            <w:szCs w:val="24"/>
            <w:lang w:val="fr-FR"/>
          </w:rPr>
          <w:t>https://doi.org/10.1038/s41598-021-00342-2</w:t>
        </w:r>
      </w:hyperlink>
      <w:r w:rsidR="004D5A7E" w:rsidRPr="006C1FAB">
        <w:rPr>
          <w:rFonts w:cs="Times New Roman"/>
          <w:color w:val="000000" w:themeColor="text1"/>
          <w:szCs w:val="24"/>
          <w:lang w:val="fr-FR"/>
        </w:rPr>
        <w:t xml:space="preserve"> </w:t>
      </w:r>
    </w:p>
    <w:p w14:paraId="3A23E43F" w14:textId="77777777" w:rsidR="00535263" w:rsidRPr="006C1FAB" w:rsidRDefault="00535263" w:rsidP="006C1FAB">
      <w:pPr>
        <w:spacing w:line="240" w:lineRule="auto"/>
        <w:ind w:left="-567" w:right="-851" w:firstLine="0"/>
        <w:rPr>
          <w:rFonts w:cs="Times New Roman"/>
          <w:color w:val="000000" w:themeColor="text1"/>
          <w:szCs w:val="24"/>
          <w:lang w:val="en-US"/>
        </w:rPr>
      </w:pPr>
      <w:proofErr w:type="spellStart"/>
      <w:r w:rsidRPr="006C1FAB">
        <w:rPr>
          <w:color w:val="000000" w:themeColor="text1"/>
          <w:szCs w:val="24"/>
          <w:lang w:val="en"/>
        </w:rPr>
        <w:t>Carteni</w:t>
      </w:r>
      <w:proofErr w:type="spellEnd"/>
      <w:r w:rsidRPr="006C1FAB">
        <w:rPr>
          <w:color w:val="000000" w:themeColor="text1"/>
          <w:szCs w:val="24"/>
          <w:lang w:val="en"/>
        </w:rPr>
        <w:t xml:space="preserve"> A., </w:t>
      </w:r>
      <w:bookmarkStart w:id="1" w:name="bau0010"/>
      <w:r w:rsidRPr="006C1FAB">
        <w:rPr>
          <w:color w:val="000000" w:themeColor="text1"/>
          <w:szCs w:val="24"/>
          <w:lang w:val="en"/>
        </w:rPr>
        <w:fldChar w:fldCharType="begin"/>
      </w:r>
      <w:r w:rsidRPr="006C1FAB">
        <w:rPr>
          <w:color w:val="000000" w:themeColor="text1"/>
          <w:szCs w:val="24"/>
          <w:lang w:val="en"/>
        </w:rPr>
        <w:instrText xml:space="preserve"> HYPERLINK "https://www.sciencedirect.com/science/article/pii/S0048969720340110?via%3Dihub" \l "!" </w:instrText>
      </w:r>
      <w:r w:rsidRPr="006C1FAB">
        <w:rPr>
          <w:color w:val="000000" w:themeColor="text1"/>
          <w:szCs w:val="24"/>
          <w:lang w:val="en"/>
        </w:rPr>
        <w:fldChar w:fldCharType="separate"/>
      </w:r>
      <w:r w:rsidRPr="006C1FAB">
        <w:rPr>
          <w:rStyle w:val="text"/>
          <w:color w:val="000000" w:themeColor="text1"/>
          <w:szCs w:val="24"/>
          <w:lang w:val="en"/>
        </w:rPr>
        <w:t>Francesco</w:t>
      </w:r>
      <w:r w:rsidRPr="006C1FAB">
        <w:rPr>
          <w:color w:val="000000" w:themeColor="text1"/>
          <w:lang w:val="en"/>
        </w:rPr>
        <w:t xml:space="preserve"> </w:t>
      </w:r>
      <w:r w:rsidRPr="006C1FAB">
        <w:rPr>
          <w:color w:val="000000" w:themeColor="text1"/>
          <w:szCs w:val="24"/>
          <w:lang w:val="en"/>
        </w:rPr>
        <w:fldChar w:fldCharType="end"/>
      </w:r>
      <w:bookmarkStart w:id="2" w:name="bau0015"/>
      <w:bookmarkEnd w:id="1"/>
      <w:r w:rsidRPr="006C1FAB">
        <w:rPr>
          <w:color w:val="000000" w:themeColor="text1"/>
          <w:szCs w:val="24"/>
          <w:lang w:val="en"/>
        </w:rPr>
        <w:t xml:space="preserve"> L.D.</w:t>
      </w:r>
      <w:r w:rsidRPr="006C1FAB">
        <w:rPr>
          <w:color w:val="000000" w:themeColor="text1"/>
          <w:lang w:val="en"/>
        </w:rPr>
        <w:t xml:space="preserve"> </w:t>
      </w:r>
      <w:r w:rsidRPr="006C1FAB">
        <w:rPr>
          <w:color w:val="000000" w:themeColor="text1"/>
          <w:szCs w:val="24"/>
          <w:lang w:val="en"/>
        </w:rPr>
        <w:t xml:space="preserve">, </w:t>
      </w:r>
      <w:r w:rsidRPr="006C1FAB">
        <w:rPr>
          <w:color w:val="000000" w:themeColor="text1"/>
          <w:lang w:val="en"/>
        </w:rPr>
        <w:t xml:space="preserve"> </w:t>
      </w:r>
      <w:hyperlink r:id="rId10" w:anchor="!" w:history="1">
        <w:r w:rsidRPr="006C1FAB">
          <w:rPr>
            <w:rStyle w:val="text"/>
            <w:color w:val="000000" w:themeColor="text1"/>
            <w:szCs w:val="24"/>
            <w:lang w:val="en"/>
          </w:rPr>
          <w:t>Martino</w:t>
        </w:r>
      </w:hyperlink>
      <w:r w:rsidRPr="006C1FAB">
        <w:rPr>
          <w:color w:val="000000" w:themeColor="text1"/>
          <w:lang w:val="en"/>
        </w:rPr>
        <w:t xml:space="preserve"> </w:t>
      </w:r>
      <w:bookmarkEnd w:id="2"/>
      <w:r w:rsidRPr="006C1FAB">
        <w:rPr>
          <w:color w:val="000000" w:themeColor="text1"/>
          <w:szCs w:val="24"/>
          <w:lang w:val="en"/>
        </w:rPr>
        <w:t xml:space="preserve"> M. (2020) </w:t>
      </w:r>
      <w:r w:rsidRPr="006C1FAB">
        <w:rPr>
          <w:color w:val="000000" w:themeColor="text1"/>
          <w:lang w:val="en"/>
        </w:rPr>
        <w:t xml:space="preserve"> </w:t>
      </w:r>
      <w:r w:rsidRPr="006C1FAB">
        <w:rPr>
          <w:i/>
          <w:iCs/>
          <w:color w:val="000000" w:themeColor="text1"/>
          <w:szCs w:val="24"/>
          <w:lang w:val="en"/>
        </w:rPr>
        <w:t>How mobility habits influenced the spread of the COVID-19 pandemic: Results from the Italian case study</w:t>
      </w:r>
      <w:r w:rsidRPr="006C1FAB">
        <w:rPr>
          <w:color w:val="000000" w:themeColor="text1"/>
          <w:szCs w:val="24"/>
          <w:lang w:val="en"/>
        </w:rPr>
        <w:t>.</w:t>
      </w:r>
      <w:r w:rsidRPr="006C1FAB">
        <w:rPr>
          <w:color w:val="000000" w:themeColor="text1"/>
          <w:lang w:val="en"/>
        </w:rPr>
        <w:t xml:space="preserve"> </w:t>
      </w:r>
      <w:hyperlink r:id="rId11" w:tooltip="Go to Science of The Total Environment on ScienceDirect" w:history="1">
        <w:r w:rsidRPr="006C1FAB">
          <w:rPr>
            <w:color w:val="000000" w:themeColor="text1"/>
            <w:szCs w:val="24"/>
            <w:lang w:val="en"/>
          </w:rPr>
          <w:t>Science of The Total Environment</w:t>
        </w:r>
      </w:hyperlink>
      <w:r w:rsidRPr="006C1FAB">
        <w:rPr>
          <w:color w:val="000000" w:themeColor="text1"/>
          <w:szCs w:val="24"/>
          <w:lang w:val="en"/>
        </w:rPr>
        <w:t xml:space="preserve">, </w:t>
      </w:r>
      <w:r w:rsidRPr="006C1FAB">
        <w:rPr>
          <w:color w:val="000000" w:themeColor="text1"/>
          <w:lang w:val="en"/>
        </w:rPr>
        <w:t xml:space="preserve"> </w:t>
      </w:r>
      <w:hyperlink r:id="rId12" w:tooltip="Go to table of contents for this volume/issue" w:history="1">
        <w:r w:rsidRPr="006C1FAB">
          <w:rPr>
            <w:color w:val="000000" w:themeColor="text1"/>
            <w:szCs w:val="24"/>
            <w:lang w:val="en"/>
          </w:rPr>
          <w:t>Volume 741</w:t>
        </w:r>
      </w:hyperlink>
      <w:r w:rsidRPr="006C1FAB">
        <w:rPr>
          <w:color w:val="000000" w:themeColor="text1"/>
          <w:szCs w:val="24"/>
          <w:lang w:val="en"/>
        </w:rPr>
        <w:t xml:space="preserve">, </w:t>
      </w:r>
      <w:r w:rsidRPr="006C1FAB">
        <w:rPr>
          <w:color w:val="000000" w:themeColor="text1"/>
          <w:lang w:val="en"/>
        </w:rPr>
        <w:t xml:space="preserve"> </w:t>
      </w:r>
      <w:hyperlink r:id="rId13" w:history="1">
        <w:r w:rsidRPr="006C1FAB">
          <w:rPr>
            <w:color w:val="000000" w:themeColor="text1"/>
            <w:szCs w:val="24"/>
            <w:lang w:val="en"/>
          </w:rPr>
          <w:t>https://doi.org/10.1016/j.scitotenv.2020.140489</w:t>
        </w:r>
      </w:hyperlink>
    </w:p>
    <w:p w14:paraId="2E788A2D" w14:textId="655E3675" w:rsidR="001A53EC" w:rsidRPr="006C1FAB" w:rsidRDefault="001A53EC" w:rsidP="006C1FAB">
      <w:pPr>
        <w:spacing w:line="240" w:lineRule="auto"/>
        <w:ind w:left="-567" w:right="-851" w:firstLine="0"/>
        <w:rPr>
          <w:rFonts w:cs="Times New Roman"/>
          <w:color w:val="000000" w:themeColor="text1"/>
          <w:szCs w:val="24"/>
          <w:lang w:val="en-US"/>
        </w:rPr>
      </w:pPr>
      <w:r w:rsidRPr="006C1FAB">
        <w:rPr>
          <w:color w:val="000000" w:themeColor="text1"/>
          <w:szCs w:val="24"/>
          <w:lang w:val="es-ES"/>
        </w:rPr>
        <w:t>Cruz Villalón</w:t>
      </w:r>
      <w:r w:rsidRPr="006C1FAB">
        <w:rPr>
          <w:rFonts w:cs="Times New Roman"/>
          <w:color w:val="000000" w:themeColor="text1"/>
          <w:szCs w:val="24"/>
          <w:lang w:val="es-ES"/>
        </w:rPr>
        <w:t xml:space="preserve"> J.</w:t>
      </w:r>
      <w:r w:rsidR="0097529C" w:rsidRPr="006C1FAB">
        <w:rPr>
          <w:rFonts w:cs="Times New Roman"/>
          <w:color w:val="000000" w:themeColor="text1"/>
          <w:szCs w:val="24"/>
          <w:lang w:val="es-ES"/>
        </w:rPr>
        <w:t xml:space="preserve">, </w:t>
      </w:r>
      <w:r w:rsidRPr="006C1FAB">
        <w:rPr>
          <w:color w:val="000000" w:themeColor="text1"/>
          <w:szCs w:val="24"/>
          <w:lang w:val="es-ES"/>
        </w:rPr>
        <w:t>Lois González</w:t>
      </w:r>
      <w:r w:rsidRPr="006C1FAB">
        <w:rPr>
          <w:rFonts w:cs="Times New Roman"/>
          <w:color w:val="000000" w:themeColor="text1"/>
          <w:szCs w:val="24"/>
          <w:lang w:val="es-ES"/>
        </w:rPr>
        <w:t xml:space="preserve"> R.,</w:t>
      </w:r>
      <w:r w:rsidR="0097529C" w:rsidRPr="006C1FAB">
        <w:rPr>
          <w:rFonts w:cs="Times New Roman"/>
          <w:color w:val="000000" w:themeColor="text1"/>
          <w:szCs w:val="24"/>
          <w:lang w:val="es-ES"/>
        </w:rPr>
        <w:t xml:space="preserve"> </w:t>
      </w:r>
      <w:r w:rsidRPr="006C1FAB">
        <w:rPr>
          <w:color w:val="000000" w:themeColor="text1"/>
          <w:szCs w:val="24"/>
          <w:lang w:val="es-ES"/>
        </w:rPr>
        <w:t xml:space="preserve">Miramontes </w:t>
      </w:r>
      <w:proofErr w:type="spellStart"/>
      <w:r w:rsidRPr="006C1FAB">
        <w:rPr>
          <w:color w:val="000000" w:themeColor="text1"/>
          <w:szCs w:val="24"/>
          <w:lang w:val="es-ES"/>
        </w:rPr>
        <w:t>Carballada</w:t>
      </w:r>
      <w:proofErr w:type="spellEnd"/>
      <w:r w:rsidRPr="006C1FAB">
        <w:rPr>
          <w:rFonts w:cs="Times New Roman"/>
          <w:color w:val="000000" w:themeColor="text1"/>
          <w:szCs w:val="24"/>
          <w:lang w:val="es-ES"/>
        </w:rPr>
        <w:t xml:space="preserve"> Á.</w:t>
      </w:r>
      <w:r w:rsidR="0097529C" w:rsidRPr="006C1FAB">
        <w:rPr>
          <w:rFonts w:cs="Times New Roman"/>
          <w:color w:val="000000" w:themeColor="text1"/>
          <w:szCs w:val="24"/>
          <w:lang w:val="es-ES"/>
        </w:rPr>
        <w:t xml:space="preserve">, </w:t>
      </w:r>
      <w:proofErr w:type="spellStart"/>
      <w:r w:rsidRPr="006C1FAB">
        <w:rPr>
          <w:color w:val="000000" w:themeColor="text1"/>
          <w:szCs w:val="24"/>
          <w:lang w:val="es-ES"/>
        </w:rPr>
        <w:t>Olcina</w:t>
      </w:r>
      <w:proofErr w:type="spellEnd"/>
      <w:r w:rsidRPr="006C1FAB">
        <w:rPr>
          <w:color w:val="000000" w:themeColor="text1"/>
          <w:szCs w:val="24"/>
          <w:lang w:val="es-ES"/>
        </w:rPr>
        <w:t xml:space="preserve"> Cantos</w:t>
      </w:r>
      <w:r w:rsidRPr="006C1FAB">
        <w:rPr>
          <w:rFonts w:cs="Times New Roman"/>
          <w:color w:val="000000" w:themeColor="text1"/>
          <w:szCs w:val="24"/>
          <w:lang w:val="es-ES"/>
        </w:rPr>
        <w:t>, J. (2021)</w:t>
      </w:r>
      <w:r w:rsidR="0097529C" w:rsidRPr="006C1FAB">
        <w:rPr>
          <w:rFonts w:cs="Times New Roman"/>
          <w:color w:val="000000" w:themeColor="text1"/>
          <w:szCs w:val="24"/>
          <w:lang w:val="es-ES"/>
        </w:rPr>
        <w:t>,</w:t>
      </w:r>
      <w:r w:rsidRPr="006C1FAB">
        <w:rPr>
          <w:rFonts w:cs="Times New Roman"/>
          <w:color w:val="000000" w:themeColor="text1"/>
          <w:szCs w:val="24"/>
          <w:lang w:val="es-ES"/>
        </w:rPr>
        <w:t xml:space="preserve"> </w:t>
      </w:r>
      <w:r w:rsidRPr="006C1FAB">
        <w:rPr>
          <w:rFonts w:cs="Times New Roman"/>
          <w:i/>
          <w:iCs/>
          <w:color w:val="000000" w:themeColor="text1"/>
          <w:szCs w:val="24"/>
          <w:lang w:val="es-ES"/>
        </w:rPr>
        <w:t>Le</w:t>
      </w:r>
      <w:r w:rsidR="0097529C" w:rsidRPr="006C1FAB">
        <w:rPr>
          <w:rFonts w:cs="Times New Roman"/>
          <w:i/>
          <w:iCs/>
          <w:color w:val="000000" w:themeColor="text1"/>
          <w:szCs w:val="24"/>
          <w:lang w:val="es-ES"/>
        </w:rPr>
        <w:t xml:space="preserve"> </w:t>
      </w:r>
      <w:r w:rsidRPr="006C1FAB">
        <w:rPr>
          <w:rFonts w:cs="Times New Roman"/>
          <w:i/>
          <w:iCs/>
          <w:color w:val="000000" w:themeColor="text1"/>
          <w:szCs w:val="24"/>
          <w:lang w:val="es-ES"/>
        </w:rPr>
        <w:t xml:space="preserve">Covid-19 en </w:t>
      </w:r>
      <w:proofErr w:type="spellStart"/>
      <w:r w:rsidRPr="006C1FAB">
        <w:rPr>
          <w:rFonts w:cs="Times New Roman"/>
          <w:i/>
          <w:iCs/>
          <w:color w:val="000000" w:themeColor="text1"/>
          <w:szCs w:val="24"/>
          <w:lang w:val="es-ES"/>
        </w:rPr>
        <w:t>Espagne</w:t>
      </w:r>
      <w:proofErr w:type="spellEnd"/>
      <w:r w:rsidRPr="006C1FAB">
        <w:rPr>
          <w:rFonts w:cs="Times New Roman"/>
          <w:i/>
          <w:iCs/>
          <w:color w:val="000000" w:themeColor="text1"/>
          <w:szCs w:val="24"/>
          <w:lang w:val="es-ES"/>
        </w:rPr>
        <w:t xml:space="preserve">. </w:t>
      </w:r>
      <w:r w:rsidRPr="006C1FAB">
        <w:rPr>
          <w:rFonts w:cs="Times New Roman"/>
          <w:i/>
          <w:iCs/>
          <w:color w:val="000000" w:themeColor="text1"/>
          <w:szCs w:val="24"/>
          <w:lang w:val="it-IT"/>
        </w:rPr>
        <w:t>Les</w:t>
      </w:r>
      <w:r w:rsidR="0097529C" w:rsidRPr="006C1FAB">
        <w:rPr>
          <w:rFonts w:cs="Times New Roman"/>
          <w:i/>
          <w:iCs/>
          <w:color w:val="000000" w:themeColor="text1"/>
          <w:szCs w:val="24"/>
          <w:lang w:val="it-IT"/>
        </w:rPr>
        <w:t xml:space="preserve"> </w:t>
      </w:r>
      <w:r w:rsidRPr="006C1FAB">
        <w:rPr>
          <w:rFonts w:cs="Times New Roman"/>
          <w:i/>
          <w:iCs/>
          <w:color w:val="000000" w:themeColor="text1"/>
          <w:szCs w:val="24"/>
          <w:lang w:val="it-IT"/>
        </w:rPr>
        <w:t>défis géopolitiques de la gouvernance d’un problème de santé</w:t>
      </w:r>
      <w:r w:rsidRPr="006C1FAB">
        <w:rPr>
          <w:rFonts w:cs="Times New Roman"/>
          <w:color w:val="000000" w:themeColor="text1"/>
          <w:szCs w:val="24"/>
          <w:lang w:val="it-IT"/>
        </w:rPr>
        <w:t>.</w:t>
      </w:r>
      <w:r w:rsidR="0097529C" w:rsidRPr="006C1FAB">
        <w:rPr>
          <w:rFonts w:cs="Times New Roman"/>
          <w:color w:val="000000" w:themeColor="text1"/>
          <w:szCs w:val="24"/>
          <w:lang w:val="it-IT"/>
        </w:rPr>
        <w:t xml:space="preserve"> </w:t>
      </w:r>
      <w:r w:rsidRPr="006C1FAB">
        <w:rPr>
          <w:rFonts w:cs="Times New Roman"/>
          <w:color w:val="000000" w:themeColor="text1"/>
          <w:szCs w:val="24"/>
          <w:lang w:val="it-IT"/>
        </w:rPr>
        <w:t>Hérodote, 183, 197-225.</w:t>
      </w:r>
      <w:r w:rsidR="0097529C" w:rsidRPr="006C1FAB">
        <w:rPr>
          <w:rFonts w:cs="Times New Roman"/>
          <w:color w:val="000000" w:themeColor="text1"/>
          <w:szCs w:val="24"/>
          <w:lang w:val="it-IT"/>
        </w:rPr>
        <w:t xml:space="preserve"> </w:t>
      </w:r>
      <w:r w:rsidR="00EE628E">
        <w:fldChar w:fldCharType="begin"/>
      </w:r>
      <w:r w:rsidR="00EE628E">
        <w:instrText xml:space="preserve"> HYPERLINK "https://doi.org/10.3917/her.183.0197" </w:instrText>
      </w:r>
      <w:r w:rsidR="00EE628E">
        <w:fldChar w:fldCharType="separate"/>
      </w:r>
      <w:r w:rsidR="0097529C" w:rsidRPr="006C1FAB">
        <w:rPr>
          <w:rStyle w:val="Hipervnculo"/>
          <w:color w:val="000000" w:themeColor="text1"/>
          <w:szCs w:val="24"/>
          <w:lang w:val="en-US"/>
        </w:rPr>
        <w:t>https://doi.org/10.3917/her.183.0197</w:t>
      </w:r>
      <w:r w:rsidR="00EE628E">
        <w:rPr>
          <w:rStyle w:val="Hipervnculo"/>
          <w:color w:val="000000" w:themeColor="text1"/>
          <w:szCs w:val="24"/>
          <w:lang w:val="en-US"/>
        </w:rPr>
        <w:fldChar w:fldCharType="end"/>
      </w:r>
    </w:p>
    <w:p w14:paraId="3279F0BC" w14:textId="33F58DA7" w:rsidR="00002651" w:rsidRPr="006C1FAB" w:rsidRDefault="00002651" w:rsidP="006C1FAB">
      <w:pPr>
        <w:spacing w:line="240" w:lineRule="auto"/>
        <w:ind w:left="-567" w:right="-851" w:firstLine="0"/>
        <w:rPr>
          <w:color w:val="000000" w:themeColor="text1"/>
          <w:szCs w:val="24"/>
          <w:lang w:val="en-US"/>
        </w:rPr>
      </w:pPr>
      <w:r w:rsidRPr="006C1FAB">
        <w:rPr>
          <w:color w:val="000000" w:themeColor="text1"/>
          <w:szCs w:val="24"/>
          <w:lang w:val="en-US"/>
        </w:rPr>
        <w:t>Davis P. J. (2020)</w:t>
      </w:r>
      <w:r w:rsidR="0097529C" w:rsidRPr="006C1FAB">
        <w:rPr>
          <w:color w:val="000000" w:themeColor="text1"/>
          <w:szCs w:val="24"/>
          <w:lang w:val="en-US"/>
        </w:rPr>
        <w:t>,</w:t>
      </w:r>
      <w:r w:rsidRPr="006C1FAB">
        <w:rPr>
          <w:color w:val="000000" w:themeColor="text1"/>
          <w:szCs w:val="24"/>
          <w:lang w:val="en-US"/>
        </w:rPr>
        <w:t xml:space="preserve"> Rural Areas Face Higher and Distinct Risks of Serious COVID‐19 Outcomes than Urban Areas. </w:t>
      </w:r>
      <w:hyperlink r:id="rId14" w:history="1">
        <w:r w:rsidR="005A77CA" w:rsidRPr="006C1FAB">
          <w:rPr>
            <w:rStyle w:val="Hipervnculo"/>
            <w:color w:val="000000" w:themeColor="text1"/>
            <w:szCs w:val="24"/>
            <w:lang w:val="en-US"/>
          </w:rPr>
          <w:t>https://ruralopioids.soc.iastate.edu/wp-content/uploads/sites/210/2020/04/STR1059_covid19.pdf</w:t>
        </w:r>
      </w:hyperlink>
      <w:r w:rsidR="005A77CA" w:rsidRPr="006C1FAB">
        <w:rPr>
          <w:color w:val="000000" w:themeColor="text1"/>
          <w:szCs w:val="24"/>
          <w:lang w:val="en-US"/>
        </w:rPr>
        <w:t xml:space="preserve"> </w:t>
      </w:r>
    </w:p>
    <w:p w14:paraId="5DE39286" w14:textId="0C4264F8" w:rsidR="001946D5" w:rsidRPr="006C1FAB" w:rsidRDefault="001946D5" w:rsidP="006C1FAB">
      <w:pPr>
        <w:spacing w:line="240" w:lineRule="auto"/>
        <w:ind w:left="-567" w:right="-851" w:firstLine="0"/>
        <w:rPr>
          <w:rFonts w:cs="Times New Roman"/>
          <w:color w:val="000000" w:themeColor="text1"/>
          <w:szCs w:val="24"/>
          <w:lang w:val="en-US"/>
        </w:rPr>
      </w:pPr>
      <w:r w:rsidRPr="006C1FAB">
        <w:rPr>
          <w:rFonts w:cs="Times New Roman"/>
          <w:color w:val="000000" w:themeColor="text1"/>
          <w:szCs w:val="24"/>
          <w:lang w:val="en-US"/>
        </w:rPr>
        <w:t>Forman R.T. (2014)</w:t>
      </w:r>
      <w:r w:rsidR="00FA190D" w:rsidRPr="006C1FAB">
        <w:rPr>
          <w:rFonts w:cs="Times New Roman"/>
          <w:color w:val="000000" w:themeColor="text1"/>
          <w:szCs w:val="24"/>
          <w:lang w:val="en-US"/>
        </w:rPr>
        <w:t>,</w:t>
      </w:r>
      <w:r w:rsidRPr="006C1FAB">
        <w:rPr>
          <w:rFonts w:cs="Times New Roman"/>
          <w:color w:val="000000" w:themeColor="text1"/>
          <w:szCs w:val="24"/>
          <w:lang w:val="en-US"/>
        </w:rPr>
        <w:t xml:space="preserve"> </w:t>
      </w:r>
      <w:r w:rsidRPr="006C1FAB">
        <w:rPr>
          <w:rFonts w:cs="Times New Roman"/>
          <w:i/>
          <w:color w:val="000000" w:themeColor="text1"/>
          <w:szCs w:val="24"/>
          <w:lang w:val="en-US"/>
        </w:rPr>
        <w:t>Urban Ecology. Science of Cities</w:t>
      </w:r>
      <w:r w:rsidRPr="006C1FAB">
        <w:rPr>
          <w:rFonts w:cs="Times New Roman"/>
          <w:color w:val="000000" w:themeColor="text1"/>
          <w:szCs w:val="24"/>
          <w:lang w:val="en-US"/>
        </w:rPr>
        <w:t>. Cambridge: Cambridge University Press.</w:t>
      </w:r>
    </w:p>
    <w:p w14:paraId="3AA257C8" w14:textId="6CF75D52" w:rsidR="00FA190D" w:rsidRPr="006C1FAB" w:rsidRDefault="00190391" w:rsidP="006C1FAB">
      <w:pPr>
        <w:spacing w:line="240" w:lineRule="auto"/>
        <w:ind w:left="-567" w:right="-851" w:firstLine="0"/>
        <w:rPr>
          <w:rFonts w:cs="Times New Roman"/>
          <w:color w:val="000000" w:themeColor="text1"/>
          <w:szCs w:val="24"/>
        </w:rPr>
      </w:pPr>
      <w:r w:rsidRPr="006C1FAB">
        <w:rPr>
          <w:rFonts w:cs="Times New Roman"/>
          <w:color w:val="000000" w:themeColor="text1"/>
          <w:szCs w:val="24"/>
          <w:lang w:val="fr-FR"/>
        </w:rPr>
        <w:t>Jones K.E.</w:t>
      </w:r>
      <w:r w:rsidR="00FA190D" w:rsidRPr="006C1FAB">
        <w:rPr>
          <w:rFonts w:cs="Times New Roman"/>
          <w:color w:val="000000" w:themeColor="text1"/>
          <w:szCs w:val="24"/>
          <w:lang w:val="fr-FR"/>
        </w:rPr>
        <w:t>, Patel N., Levy, M.</w:t>
      </w:r>
      <w:r w:rsidRPr="006C1FAB">
        <w:rPr>
          <w:rFonts w:cs="Times New Roman"/>
          <w:color w:val="000000" w:themeColor="text1"/>
          <w:szCs w:val="24"/>
          <w:lang w:val="fr-FR"/>
        </w:rPr>
        <w:t xml:space="preserve"> et al. </w:t>
      </w:r>
      <w:r w:rsidRPr="006C1FAB">
        <w:rPr>
          <w:rFonts w:cs="Times New Roman"/>
          <w:color w:val="000000" w:themeColor="text1"/>
          <w:szCs w:val="24"/>
          <w:lang w:val="en-US"/>
        </w:rPr>
        <w:t>(2008)</w:t>
      </w:r>
      <w:r w:rsidR="00FA190D" w:rsidRPr="006C1FAB">
        <w:rPr>
          <w:rFonts w:cs="Times New Roman"/>
          <w:color w:val="000000" w:themeColor="text1"/>
          <w:szCs w:val="24"/>
          <w:lang w:val="en-US"/>
        </w:rPr>
        <w:t>,</w:t>
      </w:r>
      <w:r w:rsidRPr="006C1FAB">
        <w:rPr>
          <w:rFonts w:cs="Times New Roman"/>
          <w:color w:val="000000" w:themeColor="text1"/>
          <w:szCs w:val="24"/>
          <w:lang w:val="en-US"/>
        </w:rPr>
        <w:t xml:space="preserve"> </w:t>
      </w:r>
      <w:r w:rsidRPr="006C1FAB">
        <w:rPr>
          <w:rFonts w:cs="Times New Roman"/>
          <w:i/>
          <w:iCs/>
          <w:color w:val="000000" w:themeColor="text1"/>
          <w:szCs w:val="24"/>
          <w:lang w:val="en-US"/>
        </w:rPr>
        <w:t>Global trends in emerging infectious diseases</w:t>
      </w:r>
      <w:r w:rsidRPr="006C1FAB">
        <w:rPr>
          <w:rFonts w:cs="Times New Roman"/>
          <w:color w:val="000000" w:themeColor="text1"/>
          <w:szCs w:val="24"/>
          <w:lang w:val="en-US"/>
        </w:rPr>
        <w:t xml:space="preserve">. </w:t>
      </w:r>
      <w:r w:rsidRPr="006C1FAB">
        <w:rPr>
          <w:rFonts w:cs="Times New Roman"/>
          <w:iCs/>
          <w:color w:val="000000" w:themeColor="text1"/>
          <w:szCs w:val="24"/>
          <w:lang w:val="en-US"/>
        </w:rPr>
        <w:t>Nature</w:t>
      </w:r>
      <w:r w:rsidRPr="006C1FAB">
        <w:rPr>
          <w:rFonts w:cs="Times New Roman"/>
          <w:color w:val="000000" w:themeColor="text1"/>
          <w:szCs w:val="24"/>
          <w:lang w:val="en-US"/>
        </w:rPr>
        <w:t>, Vol. 451</w:t>
      </w:r>
      <w:r w:rsidR="00202E3A" w:rsidRPr="006C1FAB">
        <w:rPr>
          <w:rFonts w:cs="Times New Roman"/>
          <w:color w:val="000000" w:themeColor="text1"/>
          <w:szCs w:val="24"/>
          <w:lang w:val="en-US"/>
        </w:rPr>
        <w:t xml:space="preserve">, </w:t>
      </w:r>
      <w:r w:rsidR="00FA190D" w:rsidRPr="006C1FAB">
        <w:rPr>
          <w:rFonts w:cs="Times New Roman"/>
          <w:color w:val="000000" w:themeColor="text1"/>
          <w:shd w:val="clear" w:color="auto" w:fill="FFFFFF"/>
        </w:rPr>
        <w:t>990–993. https://doi.org/10.1038/nature06536</w:t>
      </w:r>
    </w:p>
    <w:p w14:paraId="353A0E9C" w14:textId="77777777" w:rsidR="00535263" w:rsidRPr="006C1FAB" w:rsidRDefault="00535263" w:rsidP="006C1FAB">
      <w:pPr>
        <w:spacing w:line="240" w:lineRule="auto"/>
        <w:ind w:left="-567" w:right="-851" w:firstLine="0"/>
        <w:rPr>
          <w:rFonts w:cs="Times New Roman"/>
          <w:color w:val="000000" w:themeColor="text1"/>
          <w:szCs w:val="24"/>
          <w:lang w:val="en-US"/>
        </w:rPr>
      </w:pPr>
      <w:proofErr w:type="spellStart"/>
      <w:r w:rsidRPr="006C1FAB">
        <w:rPr>
          <w:color w:val="000000" w:themeColor="text1"/>
          <w:szCs w:val="24"/>
          <w:shd w:val="clear" w:color="auto" w:fill="FFFFFF"/>
          <w:lang w:val="en"/>
        </w:rPr>
        <w:t>Hasibuan</w:t>
      </w:r>
      <w:proofErr w:type="spellEnd"/>
      <w:r w:rsidRPr="006C1FAB">
        <w:rPr>
          <w:color w:val="000000" w:themeColor="text1"/>
          <w:szCs w:val="24"/>
          <w:shd w:val="clear" w:color="auto" w:fill="FFFFFF"/>
          <w:lang w:val="en"/>
        </w:rPr>
        <w:t xml:space="preserve"> M., </w:t>
      </w:r>
      <w:proofErr w:type="spellStart"/>
      <w:r w:rsidRPr="006C1FAB">
        <w:rPr>
          <w:color w:val="000000" w:themeColor="text1"/>
          <w:szCs w:val="24"/>
          <w:shd w:val="clear" w:color="auto" w:fill="FFFFFF"/>
          <w:lang w:val="en"/>
        </w:rPr>
        <w:t>Nurdadyansyah</w:t>
      </w:r>
      <w:proofErr w:type="spellEnd"/>
      <w:r w:rsidRPr="006C1FAB">
        <w:rPr>
          <w:color w:val="000000" w:themeColor="text1"/>
          <w:szCs w:val="24"/>
          <w:shd w:val="clear" w:color="auto" w:fill="FFFFFF"/>
          <w:lang w:val="en"/>
        </w:rPr>
        <w:t xml:space="preserve"> N., Yogi M., Naufal A.M., </w:t>
      </w:r>
      <w:proofErr w:type="spellStart"/>
      <w:r w:rsidRPr="006C1FAB">
        <w:rPr>
          <w:color w:val="000000" w:themeColor="text1"/>
          <w:szCs w:val="24"/>
          <w:shd w:val="clear" w:color="auto" w:fill="FFFFFF"/>
          <w:lang w:val="en"/>
        </w:rPr>
        <w:t>Azmy</w:t>
      </w:r>
      <w:proofErr w:type="spellEnd"/>
      <w:r w:rsidRPr="006C1FAB">
        <w:rPr>
          <w:color w:val="000000" w:themeColor="text1"/>
          <w:szCs w:val="24"/>
          <w:shd w:val="clear" w:color="auto" w:fill="FFFFFF"/>
          <w:lang w:val="en"/>
        </w:rPr>
        <w:t xml:space="preserve"> A.S., </w:t>
      </w:r>
      <w:proofErr w:type="spellStart"/>
      <w:r w:rsidRPr="006C1FAB">
        <w:rPr>
          <w:color w:val="000000" w:themeColor="text1"/>
          <w:szCs w:val="24"/>
          <w:shd w:val="clear" w:color="auto" w:fill="FFFFFF"/>
          <w:lang w:val="en"/>
        </w:rPr>
        <w:t>Nurhayati</w:t>
      </w:r>
      <w:proofErr w:type="spellEnd"/>
      <w:r w:rsidRPr="006C1FAB">
        <w:rPr>
          <w:color w:val="000000" w:themeColor="text1"/>
          <w:szCs w:val="24"/>
          <w:shd w:val="clear" w:color="auto" w:fill="FFFFFF"/>
          <w:lang w:val="en"/>
        </w:rPr>
        <w:t>, C. (2021</w:t>
      </w:r>
      <w:proofErr w:type="gramStart"/>
      <w:r w:rsidRPr="006C1FAB">
        <w:rPr>
          <w:color w:val="000000" w:themeColor="text1"/>
          <w:szCs w:val="24"/>
          <w:shd w:val="clear" w:color="auto" w:fill="FFFFFF"/>
          <w:lang w:val="en"/>
        </w:rPr>
        <w:t>)</w:t>
      </w:r>
      <w:r w:rsidRPr="006C1FAB">
        <w:rPr>
          <w:color w:val="000000" w:themeColor="text1"/>
          <w:lang w:val="en"/>
        </w:rPr>
        <w:t xml:space="preserve"> </w:t>
      </w:r>
      <w:r w:rsidRPr="006C1FAB">
        <w:rPr>
          <w:i/>
          <w:iCs/>
          <w:color w:val="000000" w:themeColor="text1"/>
          <w:szCs w:val="24"/>
          <w:shd w:val="clear" w:color="auto" w:fill="FFFFFF"/>
          <w:lang w:val="en"/>
        </w:rPr>
        <w:t xml:space="preserve"> Smart</w:t>
      </w:r>
      <w:proofErr w:type="gramEnd"/>
      <w:r w:rsidRPr="006C1FAB">
        <w:rPr>
          <w:i/>
          <w:iCs/>
          <w:color w:val="000000" w:themeColor="text1"/>
          <w:szCs w:val="24"/>
          <w:shd w:val="clear" w:color="auto" w:fill="FFFFFF"/>
          <w:lang w:val="en"/>
        </w:rPr>
        <w:t xml:space="preserve"> Mall to Reduce Crowds During the COVID-19 Pandemic, </w:t>
      </w:r>
      <w:r w:rsidRPr="006C1FAB">
        <w:rPr>
          <w:color w:val="000000" w:themeColor="text1"/>
          <w:lang w:val="en"/>
        </w:rPr>
        <w:t xml:space="preserve">Sixth International Conference on </w:t>
      </w:r>
      <w:r w:rsidRPr="006C1FAB">
        <w:rPr>
          <w:i/>
          <w:iCs/>
          <w:color w:val="000000" w:themeColor="text1"/>
          <w:szCs w:val="24"/>
          <w:shd w:val="clear" w:color="auto" w:fill="FFFFFF"/>
          <w:lang w:val="en"/>
        </w:rPr>
        <w:t>Informatics and Computing (ICIC),</w:t>
      </w:r>
      <w:proofErr w:type="spellStart"/>
      <w:r w:rsidRPr="006C1FAB">
        <w:rPr>
          <w:color w:val="000000" w:themeColor="text1"/>
          <w:szCs w:val="24"/>
          <w:shd w:val="clear" w:color="auto" w:fill="FFFFFF"/>
          <w:lang w:val="en"/>
        </w:rPr>
        <w:t>doi</w:t>
      </w:r>
      <w:proofErr w:type="spellEnd"/>
      <w:r w:rsidRPr="006C1FAB">
        <w:rPr>
          <w:color w:val="000000" w:themeColor="text1"/>
          <w:szCs w:val="24"/>
          <w:shd w:val="clear" w:color="auto" w:fill="FFFFFF"/>
          <w:lang w:val="en"/>
        </w:rPr>
        <w:t>: 10.1109/ICIC54025.2021.9632973.</w:t>
      </w:r>
    </w:p>
    <w:p w14:paraId="3DFF162E" w14:textId="4F735355" w:rsidR="00BB062E" w:rsidRPr="00DF0D16" w:rsidRDefault="00CD72D4" w:rsidP="006C1FAB">
      <w:pPr>
        <w:spacing w:line="240" w:lineRule="auto"/>
        <w:ind w:left="-567" w:right="-851" w:firstLine="0"/>
        <w:rPr>
          <w:rFonts w:cs="Times New Roman"/>
          <w:color w:val="000000" w:themeColor="text1"/>
          <w:szCs w:val="24"/>
          <w:lang w:val="es-ES"/>
        </w:rPr>
      </w:pPr>
      <w:proofErr w:type="spellStart"/>
      <w:r w:rsidRPr="006C1FAB">
        <w:rPr>
          <w:rFonts w:cs="Times New Roman"/>
          <w:color w:val="000000" w:themeColor="text1"/>
          <w:szCs w:val="24"/>
          <w:lang w:val="en-US"/>
        </w:rPr>
        <w:t>Ianos</w:t>
      </w:r>
      <w:proofErr w:type="spellEnd"/>
      <w:r w:rsidRPr="006C1FAB">
        <w:rPr>
          <w:rFonts w:cs="Times New Roman"/>
          <w:color w:val="000000" w:themeColor="text1"/>
          <w:szCs w:val="24"/>
          <w:lang w:val="en-US"/>
        </w:rPr>
        <w:t xml:space="preserve"> I. (2008)</w:t>
      </w:r>
      <w:r w:rsidR="00202E3A" w:rsidRPr="006C1FAB">
        <w:rPr>
          <w:rFonts w:cs="Times New Roman"/>
          <w:color w:val="000000" w:themeColor="text1"/>
          <w:szCs w:val="24"/>
          <w:lang w:val="en-US"/>
        </w:rPr>
        <w:t>,</w:t>
      </w:r>
      <w:r w:rsidRPr="006C1FAB">
        <w:rPr>
          <w:rFonts w:cs="Times New Roman"/>
          <w:color w:val="000000" w:themeColor="text1"/>
          <w:szCs w:val="24"/>
          <w:lang w:val="en-US"/>
        </w:rPr>
        <w:t xml:space="preserve"> </w:t>
      </w:r>
      <w:r w:rsidRPr="006C1FAB">
        <w:rPr>
          <w:rFonts w:cs="Times New Roman"/>
          <w:i/>
          <w:iCs/>
          <w:color w:val="000000" w:themeColor="text1"/>
          <w:szCs w:val="24"/>
          <w:lang w:val="en-US"/>
        </w:rPr>
        <w:t>Spatial nanostructures. A theoretical introduction</w:t>
      </w:r>
      <w:r w:rsidRPr="006C1FAB">
        <w:rPr>
          <w:rFonts w:cs="Times New Roman"/>
          <w:color w:val="000000" w:themeColor="text1"/>
          <w:szCs w:val="24"/>
          <w:lang w:val="en-US"/>
        </w:rPr>
        <w:t xml:space="preserve">. </w:t>
      </w:r>
      <w:proofErr w:type="spellStart"/>
      <w:r w:rsidRPr="00DF0D16">
        <w:rPr>
          <w:rFonts w:cs="Times New Roman"/>
          <w:color w:val="000000" w:themeColor="text1"/>
          <w:szCs w:val="24"/>
          <w:lang w:val="es-ES"/>
        </w:rPr>
        <w:t>Romanian</w:t>
      </w:r>
      <w:proofErr w:type="spellEnd"/>
      <w:r w:rsidRPr="00DF0D16">
        <w:rPr>
          <w:rFonts w:cs="Times New Roman"/>
          <w:color w:val="000000" w:themeColor="text1"/>
          <w:szCs w:val="24"/>
          <w:lang w:val="es-ES"/>
        </w:rPr>
        <w:t xml:space="preserve"> </w:t>
      </w:r>
      <w:proofErr w:type="spellStart"/>
      <w:r w:rsidRPr="00DF0D16">
        <w:rPr>
          <w:rFonts w:cs="Times New Roman"/>
          <w:color w:val="000000" w:themeColor="text1"/>
          <w:szCs w:val="24"/>
          <w:lang w:val="es-ES"/>
        </w:rPr>
        <w:t>Review</w:t>
      </w:r>
      <w:proofErr w:type="spellEnd"/>
      <w:r w:rsidRPr="00DF0D16">
        <w:rPr>
          <w:rFonts w:cs="Times New Roman"/>
          <w:color w:val="000000" w:themeColor="text1"/>
          <w:szCs w:val="24"/>
          <w:lang w:val="es-ES"/>
        </w:rPr>
        <w:t xml:space="preserve"> </w:t>
      </w:r>
      <w:proofErr w:type="spellStart"/>
      <w:r w:rsidRPr="00DF0D16">
        <w:rPr>
          <w:rFonts w:cs="Times New Roman"/>
          <w:color w:val="000000" w:themeColor="text1"/>
          <w:szCs w:val="24"/>
          <w:lang w:val="es-ES"/>
        </w:rPr>
        <w:t>of</w:t>
      </w:r>
      <w:proofErr w:type="spellEnd"/>
      <w:r w:rsidRPr="00DF0D16">
        <w:rPr>
          <w:rFonts w:cs="Times New Roman"/>
          <w:color w:val="000000" w:themeColor="text1"/>
          <w:szCs w:val="24"/>
          <w:lang w:val="es-ES"/>
        </w:rPr>
        <w:t xml:space="preserve"> Regional </w:t>
      </w:r>
      <w:proofErr w:type="spellStart"/>
      <w:r w:rsidRPr="00DF0D16">
        <w:rPr>
          <w:rFonts w:cs="Times New Roman"/>
          <w:color w:val="000000" w:themeColor="text1"/>
          <w:szCs w:val="24"/>
          <w:lang w:val="es-ES"/>
        </w:rPr>
        <w:t>Geography</w:t>
      </w:r>
      <w:proofErr w:type="spellEnd"/>
      <w:r w:rsidRPr="00DF0D16">
        <w:rPr>
          <w:rFonts w:cs="Times New Roman"/>
          <w:color w:val="000000" w:themeColor="text1"/>
          <w:szCs w:val="24"/>
          <w:lang w:val="es-ES"/>
        </w:rPr>
        <w:t>, 3(2), 4-16.</w:t>
      </w:r>
    </w:p>
    <w:p w14:paraId="6FE5C9CE" w14:textId="4E100A0B" w:rsidR="00E97A6D" w:rsidRPr="006C1FAB" w:rsidRDefault="00E97A6D" w:rsidP="006C1FAB">
      <w:pPr>
        <w:spacing w:line="240" w:lineRule="auto"/>
        <w:ind w:left="-567" w:right="-851" w:firstLine="0"/>
        <w:rPr>
          <w:rFonts w:cs="Times New Roman"/>
          <w:color w:val="000000" w:themeColor="text1"/>
          <w:szCs w:val="24"/>
          <w:lang w:val="es-ES"/>
        </w:rPr>
      </w:pPr>
      <w:r w:rsidRPr="006C1FAB">
        <w:rPr>
          <w:rFonts w:cs="Times New Roman"/>
          <w:color w:val="000000" w:themeColor="text1"/>
          <w:szCs w:val="24"/>
          <w:lang w:val="es-ES"/>
        </w:rPr>
        <w:t>IGN (</w:t>
      </w:r>
      <w:r w:rsidR="00202E3A" w:rsidRPr="006C1FAB">
        <w:rPr>
          <w:rFonts w:cs="Times New Roman"/>
          <w:color w:val="000000" w:themeColor="text1"/>
          <w:szCs w:val="24"/>
          <w:lang w:val="es-ES"/>
        </w:rPr>
        <w:t>Instituto Geográfico Nacional</w:t>
      </w:r>
      <w:r w:rsidRPr="006C1FAB">
        <w:rPr>
          <w:rFonts w:cs="Times New Roman"/>
          <w:color w:val="000000" w:themeColor="text1"/>
          <w:szCs w:val="24"/>
          <w:lang w:val="es-ES"/>
        </w:rPr>
        <w:t>) (2021</w:t>
      </w:r>
      <w:r w:rsidR="00202E3A" w:rsidRPr="006C1FAB">
        <w:rPr>
          <w:rFonts w:cs="Times New Roman"/>
          <w:color w:val="000000" w:themeColor="text1"/>
          <w:szCs w:val="24"/>
          <w:lang w:val="es-ES"/>
        </w:rPr>
        <w:t>),</w:t>
      </w:r>
      <w:r w:rsidRPr="006C1FAB">
        <w:rPr>
          <w:rFonts w:cs="Times New Roman"/>
          <w:color w:val="000000" w:themeColor="text1"/>
          <w:szCs w:val="24"/>
          <w:lang w:val="es-ES"/>
        </w:rPr>
        <w:t xml:space="preserve"> </w:t>
      </w:r>
      <w:r w:rsidRPr="006C1FAB">
        <w:rPr>
          <w:rFonts w:cs="Times New Roman"/>
          <w:i/>
          <w:iCs/>
          <w:color w:val="000000" w:themeColor="text1"/>
          <w:szCs w:val="24"/>
          <w:lang w:val="es-ES"/>
        </w:rPr>
        <w:t>La Pandemia COVID-19 en España</w:t>
      </w:r>
      <w:r w:rsidR="00202E3A" w:rsidRPr="006C1FAB">
        <w:rPr>
          <w:rFonts w:cs="Times New Roman"/>
          <w:color w:val="000000" w:themeColor="text1"/>
          <w:szCs w:val="24"/>
          <w:lang w:val="es-ES"/>
        </w:rPr>
        <w:t>,</w:t>
      </w:r>
      <w:r w:rsidRPr="006C1FAB">
        <w:rPr>
          <w:rFonts w:cs="Times New Roman"/>
          <w:color w:val="000000" w:themeColor="text1"/>
          <w:szCs w:val="24"/>
          <w:lang w:val="es-ES"/>
        </w:rPr>
        <w:t xml:space="preserve"> </w:t>
      </w:r>
      <w:r w:rsidR="00202E3A" w:rsidRPr="006C1FAB">
        <w:rPr>
          <w:rFonts w:cs="Times New Roman"/>
          <w:color w:val="000000" w:themeColor="text1"/>
          <w:szCs w:val="24"/>
          <w:lang w:val="es-ES"/>
        </w:rPr>
        <w:t xml:space="preserve">directores científicos </w:t>
      </w:r>
      <w:r w:rsidRPr="006C1FAB">
        <w:rPr>
          <w:rFonts w:cs="Times New Roman"/>
          <w:color w:val="000000" w:themeColor="text1"/>
          <w:szCs w:val="24"/>
          <w:lang w:val="es-ES"/>
        </w:rPr>
        <w:t xml:space="preserve">J. Sancho </w:t>
      </w:r>
      <w:proofErr w:type="spellStart"/>
      <w:r w:rsidRPr="006C1FAB">
        <w:rPr>
          <w:rFonts w:cs="Times New Roman"/>
          <w:color w:val="000000" w:themeColor="text1"/>
          <w:szCs w:val="24"/>
          <w:lang w:val="es-ES"/>
        </w:rPr>
        <w:t>Comíns</w:t>
      </w:r>
      <w:proofErr w:type="spellEnd"/>
      <w:r w:rsidRPr="006C1FAB">
        <w:rPr>
          <w:rFonts w:cs="Times New Roman"/>
          <w:color w:val="000000" w:themeColor="text1"/>
          <w:szCs w:val="24"/>
          <w:lang w:val="es-ES"/>
        </w:rPr>
        <w:t xml:space="preserve">, J. </w:t>
      </w:r>
      <w:proofErr w:type="spellStart"/>
      <w:r w:rsidRPr="006C1FAB">
        <w:rPr>
          <w:rFonts w:cs="Times New Roman"/>
          <w:color w:val="000000" w:themeColor="text1"/>
          <w:szCs w:val="24"/>
          <w:lang w:val="es-ES"/>
        </w:rPr>
        <w:t>Olcina</w:t>
      </w:r>
      <w:proofErr w:type="spellEnd"/>
      <w:r w:rsidRPr="006C1FAB">
        <w:rPr>
          <w:rFonts w:cs="Times New Roman"/>
          <w:color w:val="000000" w:themeColor="text1"/>
          <w:szCs w:val="24"/>
          <w:lang w:val="es-ES"/>
        </w:rPr>
        <w:t xml:space="preserve"> Cantos</w:t>
      </w:r>
      <w:r w:rsidR="00202E3A" w:rsidRPr="006C1FAB">
        <w:rPr>
          <w:rFonts w:cs="Times New Roman"/>
          <w:color w:val="000000" w:themeColor="text1"/>
          <w:szCs w:val="24"/>
          <w:lang w:val="es-ES"/>
        </w:rPr>
        <w:t>,</w:t>
      </w:r>
      <w:r w:rsidRPr="006C1FAB">
        <w:rPr>
          <w:rFonts w:cs="Times New Roman"/>
          <w:color w:val="000000" w:themeColor="text1"/>
          <w:szCs w:val="24"/>
          <w:lang w:val="es-ES"/>
        </w:rPr>
        <w:t xml:space="preserve"> Serie Monografías del Atlas Nacional de España. Madrid, Centro Nacional de Información Geográfica, 160</w:t>
      </w:r>
      <w:r w:rsidR="00202E3A" w:rsidRPr="006C1FAB">
        <w:rPr>
          <w:rFonts w:cs="Times New Roman"/>
          <w:color w:val="000000" w:themeColor="text1"/>
          <w:szCs w:val="24"/>
          <w:lang w:val="es-ES"/>
        </w:rPr>
        <w:t xml:space="preserve"> </w:t>
      </w:r>
      <w:r w:rsidRPr="006C1FAB">
        <w:rPr>
          <w:rFonts w:cs="Times New Roman"/>
          <w:color w:val="000000" w:themeColor="text1"/>
          <w:szCs w:val="24"/>
          <w:lang w:val="es-ES"/>
        </w:rPr>
        <w:t xml:space="preserve">pp. </w:t>
      </w:r>
      <w:hyperlink r:id="rId15" w:history="1">
        <w:r w:rsidR="00655D97" w:rsidRPr="006C1FAB">
          <w:rPr>
            <w:rStyle w:val="Hipervnculo"/>
            <w:rFonts w:cs="Times New Roman"/>
            <w:color w:val="000000" w:themeColor="text1"/>
            <w:szCs w:val="24"/>
            <w:lang w:val="es-ES"/>
          </w:rPr>
          <w:t>https://www.ign.es/web/ign/portal/libros-digitales/monografia-covid</w:t>
        </w:r>
      </w:hyperlink>
      <w:r w:rsidR="00655D97" w:rsidRPr="006C1FAB">
        <w:rPr>
          <w:rFonts w:cs="Times New Roman"/>
          <w:color w:val="000000" w:themeColor="text1"/>
          <w:szCs w:val="24"/>
          <w:lang w:val="es-ES"/>
        </w:rPr>
        <w:t xml:space="preserve"> </w:t>
      </w:r>
    </w:p>
    <w:p w14:paraId="2C87CDCA" w14:textId="585E1B51" w:rsidR="00911C22" w:rsidRPr="006C1FAB" w:rsidRDefault="00BB062E" w:rsidP="006C1FAB">
      <w:pPr>
        <w:spacing w:line="240" w:lineRule="auto"/>
        <w:ind w:left="-567" w:right="-851" w:firstLine="0"/>
        <w:rPr>
          <w:rFonts w:cs="Times New Roman"/>
          <w:color w:val="000000" w:themeColor="text1"/>
          <w:szCs w:val="24"/>
          <w:lang w:val="en-US"/>
        </w:rPr>
      </w:pPr>
      <w:r w:rsidRPr="006C1FAB">
        <w:rPr>
          <w:rFonts w:cs="Times New Roman"/>
          <w:color w:val="000000" w:themeColor="text1"/>
          <w:szCs w:val="24"/>
          <w:lang w:val="en-US"/>
        </w:rPr>
        <w:t>INE (2021): Na</w:t>
      </w:r>
      <w:r w:rsidR="00911C22" w:rsidRPr="006C1FAB">
        <w:rPr>
          <w:rFonts w:cs="Times New Roman"/>
          <w:color w:val="000000" w:themeColor="text1"/>
          <w:szCs w:val="24"/>
          <w:lang w:val="en-US"/>
        </w:rPr>
        <w:t>t</w:t>
      </w:r>
      <w:r w:rsidRPr="006C1FAB">
        <w:rPr>
          <w:rFonts w:cs="Times New Roman"/>
          <w:color w:val="000000" w:themeColor="text1"/>
          <w:szCs w:val="24"/>
          <w:lang w:val="en-US"/>
        </w:rPr>
        <w:t xml:space="preserve">ional </w:t>
      </w:r>
      <w:r w:rsidR="00911C22" w:rsidRPr="006C1FAB">
        <w:rPr>
          <w:rFonts w:cs="Times New Roman"/>
          <w:color w:val="000000" w:themeColor="text1"/>
          <w:szCs w:val="24"/>
          <w:lang w:val="en-US"/>
        </w:rPr>
        <w:t>Institute of S</w:t>
      </w:r>
      <w:r w:rsidRPr="006C1FAB">
        <w:rPr>
          <w:rFonts w:cs="Times New Roman"/>
          <w:color w:val="000000" w:themeColor="text1"/>
          <w:szCs w:val="24"/>
          <w:lang w:val="en-US"/>
        </w:rPr>
        <w:t>ta</w:t>
      </w:r>
      <w:r w:rsidR="00911C22" w:rsidRPr="006C1FAB">
        <w:rPr>
          <w:rFonts w:cs="Times New Roman"/>
          <w:color w:val="000000" w:themeColor="text1"/>
          <w:szCs w:val="24"/>
          <w:lang w:val="en-US"/>
        </w:rPr>
        <w:t>ti</w:t>
      </w:r>
      <w:r w:rsidRPr="006C1FAB">
        <w:rPr>
          <w:rFonts w:cs="Times New Roman"/>
          <w:color w:val="000000" w:themeColor="text1"/>
          <w:szCs w:val="24"/>
          <w:lang w:val="en-US"/>
        </w:rPr>
        <w:t>stic</w:t>
      </w:r>
      <w:r w:rsidR="00911C22" w:rsidRPr="006C1FAB">
        <w:rPr>
          <w:rFonts w:cs="Times New Roman"/>
          <w:color w:val="000000" w:themeColor="text1"/>
          <w:szCs w:val="24"/>
          <w:lang w:val="en-US"/>
        </w:rPr>
        <w:t>s</w:t>
      </w:r>
      <w:r w:rsidRPr="006C1FAB">
        <w:rPr>
          <w:rFonts w:cs="Times New Roman"/>
          <w:color w:val="000000" w:themeColor="text1"/>
          <w:szCs w:val="24"/>
          <w:lang w:val="en-US"/>
        </w:rPr>
        <w:t xml:space="preserve">, [Online]. Available: </w:t>
      </w:r>
      <w:hyperlink r:id="rId16" w:history="1">
        <w:r w:rsidRPr="006C1FAB">
          <w:rPr>
            <w:rStyle w:val="Hipervnculo"/>
            <w:rFonts w:cs="Times New Roman"/>
            <w:color w:val="000000" w:themeColor="text1"/>
            <w:szCs w:val="24"/>
            <w:lang w:val="en-US"/>
          </w:rPr>
          <w:t>https://www.ine.es/</w:t>
        </w:r>
      </w:hyperlink>
      <w:r w:rsidR="00655D97" w:rsidRPr="006C1FAB">
        <w:rPr>
          <w:rStyle w:val="Hipervnculo"/>
          <w:rFonts w:cs="Times New Roman"/>
          <w:color w:val="000000" w:themeColor="text1"/>
          <w:szCs w:val="24"/>
          <w:lang w:val="en-US"/>
        </w:rPr>
        <w:t xml:space="preserve"> </w:t>
      </w:r>
    </w:p>
    <w:p w14:paraId="47239114" w14:textId="19F74CB3" w:rsidR="00F94DD2" w:rsidRPr="006C1FAB" w:rsidRDefault="00F94DD2" w:rsidP="006C1FAB">
      <w:pPr>
        <w:spacing w:line="240" w:lineRule="auto"/>
        <w:ind w:left="-567" w:right="-851" w:firstLine="0"/>
        <w:rPr>
          <w:rFonts w:cs="Times New Roman"/>
          <w:color w:val="000000" w:themeColor="text1"/>
          <w:szCs w:val="24"/>
          <w:lang w:val="pt-PT"/>
        </w:rPr>
      </w:pPr>
      <w:r w:rsidRPr="006C1FAB">
        <w:rPr>
          <w:rFonts w:cs="Times New Roman"/>
          <w:color w:val="000000" w:themeColor="text1"/>
          <w:szCs w:val="24"/>
          <w:shd w:val="clear" w:color="auto" w:fill="FFFFFF"/>
          <w:lang w:val="pt-PT"/>
        </w:rPr>
        <w:t>Lois González</w:t>
      </w:r>
      <w:r w:rsidR="00655D97" w:rsidRPr="006C1FAB">
        <w:rPr>
          <w:rFonts w:cs="Times New Roman"/>
          <w:color w:val="000000" w:themeColor="text1"/>
          <w:szCs w:val="24"/>
          <w:shd w:val="clear" w:color="auto" w:fill="FFFFFF"/>
          <w:lang w:val="pt-PT"/>
        </w:rPr>
        <w:t xml:space="preserve"> R. C. (2015),</w:t>
      </w:r>
      <w:r w:rsidRPr="006C1FAB">
        <w:rPr>
          <w:rFonts w:cs="Times New Roman"/>
          <w:color w:val="000000" w:themeColor="text1"/>
          <w:szCs w:val="24"/>
          <w:shd w:val="clear" w:color="auto" w:fill="FFFFFF"/>
          <w:lang w:val="pt-PT"/>
        </w:rPr>
        <w:t xml:space="preserve"> </w:t>
      </w:r>
      <w:r w:rsidRPr="006C1FAB">
        <w:rPr>
          <w:rFonts w:cs="Times New Roman"/>
          <w:i/>
          <w:iCs/>
          <w:color w:val="000000" w:themeColor="text1"/>
          <w:szCs w:val="24"/>
          <w:shd w:val="clear" w:color="auto" w:fill="FFFFFF"/>
          <w:lang w:val="pt-PT"/>
        </w:rPr>
        <w:t>A Galicia urbana</w:t>
      </w:r>
      <w:r w:rsidRPr="006C1FAB">
        <w:rPr>
          <w:rFonts w:cs="Times New Roman"/>
          <w:color w:val="000000" w:themeColor="text1"/>
          <w:szCs w:val="24"/>
          <w:shd w:val="clear" w:color="auto" w:fill="FFFFFF"/>
          <w:lang w:val="pt-PT"/>
        </w:rPr>
        <w:t>, Xerais de Galicia (2015), p. 755.</w:t>
      </w:r>
    </w:p>
    <w:p w14:paraId="3D6D3A11" w14:textId="37B8332B" w:rsidR="008E2893" w:rsidRPr="006C1FAB" w:rsidRDefault="008E2893" w:rsidP="006C1FAB">
      <w:pPr>
        <w:spacing w:line="240" w:lineRule="auto"/>
        <w:ind w:left="-567" w:right="-851" w:firstLine="0"/>
        <w:rPr>
          <w:rFonts w:cs="Times New Roman"/>
          <w:color w:val="000000" w:themeColor="text1"/>
          <w:szCs w:val="24"/>
          <w:lang w:val="es-ES"/>
        </w:rPr>
      </w:pPr>
      <w:r w:rsidRPr="006C1FAB">
        <w:rPr>
          <w:rFonts w:cs="Times New Roman"/>
          <w:color w:val="000000" w:themeColor="text1"/>
          <w:szCs w:val="24"/>
          <w:lang w:val="pt-PT"/>
        </w:rPr>
        <w:t>Miramontes Carballada Á</w:t>
      </w:r>
      <w:r w:rsidR="00655D97" w:rsidRPr="006C1FAB">
        <w:rPr>
          <w:rFonts w:cs="Times New Roman"/>
          <w:color w:val="000000" w:themeColor="text1"/>
          <w:szCs w:val="24"/>
          <w:lang w:val="pt-PT"/>
        </w:rPr>
        <w:t>.</w:t>
      </w:r>
      <w:r w:rsidRPr="006C1FAB">
        <w:rPr>
          <w:rFonts w:cs="Times New Roman"/>
          <w:color w:val="000000" w:themeColor="text1"/>
          <w:szCs w:val="24"/>
          <w:lang w:val="pt-PT"/>
        </w:rPr>
        <w:t xml:space="preserve">, Balsa-Barreiro, J. (2021). </w:t>
      </w:r>
      <w:r w:rsidRPr="006C1FAB">
        <w:rPr>
          <w:rFonts w:cs="Times New Roman"/>
          <w:i/>
          <w:iCs/>
          <w:color w:val="000000" w:themeColor="text1"/>
          <w:szCs w:val="24"/>
          <w:lang w:val="en-US"/>
        </w:rPr>
        <w:t>Territorial impact of the COVID-19 pandemic in Galicia (Spain): a geographical approach</w:t>
      </w:r>
      <w:r w:rsidRPr="006C1FAB">
        <w:rPr>
          <w:rFonts w:cs="Times New Roman"/>
          <w:color w:val="000000" w:themeColor="text1"/>
          <w:szCs w:val="24"/>
          <w:lang w:val="en-US"/>
        </w:rPr>
        <w:t xml:space="preserve">. </w:t>
      </w:r>
      <w:r w:rsidRPr="006C1FAB">
        <w:rPr>
          <w:rFonts w:cs="Times New Roman"/>
          <w:color w:val="000000" w:themeColor="text1"/>
          <w:szCs w:val="24"/>
          <w:lang w:val="es-ES"/>
        </w:rPr>
        <w:t xml:space="preserve">Boletín de la Asociación de Geógrafos Españoles, (91). </w:t>
      </w:r>
      <w:hyperlink r:id="rId17" w:history="1">
        <w:r w:rsidRPr="006C1FAB">
          <w:rPr>
            <w:rFonts w:cs="Times New Roman"/>
            <w:color w:val="000000" w:themeColor="text1"/>
            <w:szCs w:val="24"/>
            <w:lang w:val="es-ES"/>
          </w:rPr>
          <w:t>https://doi.org/10.21138/bage.3157</w:t>
        </w:r>
      </w:hyperlink>
    </w:p>
    <w:p w14:paraId="1F1BC991" w14:textId="3CA5CDEF" w:rsidR="001946D5" w:rsidRPr="006C1FAB" w:rsidRDefault="001946D5" w:rsidP="006C1FAB">
      <w:pPr>
        <w:spacing w:line="240" w:lineRule="auto"/>
        <w:ind w:left="-567" w:right="-851" w:firstLine="0"/>
        <w:rPr>
          <w:rFonts w:cs="Times New Roman"/>
          <w:color w:val="000000" w:themeColor="text1"/>
          <w:szCs w:val="24"/>
          <w:lang w:val="en-US"/>
        </w:rPr>
      </w:pPr>
      <w:r w:rsidRPr="006C1FAB">
        <w:rPr>
          <w:rFonts w:cs="Times New Roman"/>
          <w:color w:val="000000" w:themeColor="text1"/>
          <w:szCs w:val="24"/>
          <w:lang w:val="en-US"/>
        </w:rPr>
        <w:t>Mishra S.V.</w:t>
      </w:r>
      <w:r w:rsidR="00655D97" w:rsidRPr="006C1FAB">
        <w:rPr>
          <w:rFonts w:cs="Times New Roman"/>
          <w:color w:val="000000" w:themeColor="text1"/>
          <w:szCs w:val="24"/>
          <w:lang w:val="en-US"/>
        </w:rPr>
        <w:t>,</w:t>
      </w:r>
      <w:r w:rsidRPr="006C1FAB">
        <w:rPr>
          <w:rFonts w:cs="Times New Roman"/>
          <w:color w:val="000000" w:themeColor="text1"/>
          <w:szCs w:val="24"/>
          <w:lang w:val="en-US"/>
        </w:rPr>
        <w:t xml:space="preserve"> </w:t>
      </w:r>
      <w:proofErr w:type="spellStart"/>
      <w:r w:rsidRPr="006C1FAB">
        <w:rPr>
          <w:rFonts w:cs="Times New Roman"/>
          <w:color w:val="000000" w:themeColor="text1"/>
          <w:szCs w:val="24"/>
          <w:lang w:val="en-US"/>
        </w:rPr>
        <w:t>Gayen</w:t>
      </w:r>
      <w:proofErr w:type="spellEnd"/>
      <w:r w:rsidRPr="006C1FAB">
        <w:rPr>
          <w:rFonts w:cs="Times New Roman"/>
          <w:color w:val="000000" w:themeColor="text1"/>
          <w:szCs w:val="24"/>
          <w:lang w:val="en-US"/>
        </w:rPr>
        <w:t xml:space="preserve"> A</w:t>
      </w:r>
      <w:r w:rsidR="00655D97" w:rsidRPr="006C1FAB">
        <w:rPr>
          <w:rFonts w:cs="Times New Roman"/>
          <w:color w:val="000000" w:themeColor="text1"/>
          <w:szCs w:val="24"/>
          <w:lang w:val="en-US"/>
        </w:rPr>
        <w:t>.,</w:t>
      </w:r>
      <w:r w:rsidRPr="006C1FAB">
        <w:rPr>
          <w:rFonts w:cs="Times New Roman"/>
          <w:color w:val="000000" w:themeColor="text1"/>
          <w:szCs w:val="24"/>
          <w:lang w:val="en-US"/>
        </w:rPr>
        <w:t xml:space="preserve"> Haque S.M. (2020): </w:t>
      </w:r>
      <w:r w:rsidRPr="006C1FAB">
        <w:rPr>
          <w:rFonts w:cs="Times New Roman"/>
          <w:i/>
          <w:iCs/>
          <w:color w:val="000000" w:themeColor="text1"/>
          <w:szCs w:val="24"/>
          <w:lang w:val="en-US"/>
        </w:rPr>
        <w:t xml:space="preserve">COVID-19 and urban </w:t>
      </w:r>
      <w:proofErr w:type="spellStart"/>
      <w:r w:rsidRPr="006C1FAB">
        <w:rPr>
          <w:rFonts w:cs="Times New Roman"/>
          <w:i/>
          <w:iCs/>
          <w:color w:val="000000" w:themeColor="text1"/>
          <w:szCs w:val="24"/>
          <w:lang w:val="en-US"/>
        </w:rPr>
        <w:t>vulnerabity</w:t>
      </w:r>
      <w:proofErr w:type="spellEnd"/>
      <w:r w:rsidRPr="006C1FAB">
        <w:rPr>
          <w:rFonts w:cs="Times New Roman"/>
          <w:i/>
          <w:iCs/>
          <w:color w:val="000000" w:themeColor="text1"/>
          <w:szCs w:val="24"/>
          <w:lang w:val="en-US"/>
        </w:rPr>
        <w:t xml:space="preserve"> in India</w:t>
      </w:r>
      <w:r w:rsidRPr="006C1FAB">
        <w:rPr>
          <w:rFonts w:cs="Times New Roman"/>
          <w:color w:val="000000" w:themeColor="text1"/>
          <w:szCs w:val="24"/>
          <w:lang w:val="en-US"/>
        </w:rPr>
        <w:t xml:space="preserve">. </w:t>
      </w:r>
      <w:r w:rsidRPr="006C1FAB">
        <w:rPr>
          <w:rFonts w:cs="Times New Roman"/>
          <w:iCs/>
          <w:color w:val="000000" w:themeColor="text1"/>
          <w:szCs w:val="24"/>
          <w:lang w:val="en-US"/>
        </w:rPr>
        <w:t>Habitat International</w:t>
      </w:r>
      <w:r w:rsidRPr="006C1FAB">
        <w:rPr>
          <w:rFonts w:cs="Times New Roman"/>
          <w:color w:val="000000" w:themeColor="text1"/>
          <w:szCs w:val="24"/>
          <w:lang w:val="en-US"/>
        </w:rPr>
        <w:t>, 103. http//doi.org/10.1016/j.habitatint.2020.102230</w:t>
      </w:r>
      <w:r w:rsidR="00655D97" w:rsidRPr="006C1FAB">
        <w:rPr>
          <w:rFonts w:cs="Times New Roman"/>
          <w:color w:val="000000" w:themeColor="text1"/>
          <w:szCs w:val="24"/>
          <w:lang w:val="en-US"/>
        </w:rPr>
        <w:t xml:space="preserve"> </w:t>
      </w:r>
    </w:p>
    <w:p w14:paraId="5D4AC9E7" w14:textId="77777777" w:rsidR="00535263" w:rsidRPr="006C1FAB" w:rsidRDefault="00535263" w:rsidP="006C1FAB">
      <w:pPr>
        <w:spacing w:line="240" w:lineRule="auto"/>
        <w:ind w:left="-567" w:right="-851" w:firstLine="0"/>
        <w:rPr>
          <w:rFonts w:cs="Times New Roman"/>
          <w:color w:val="000000" w:themeColor="text1"/>
          <w:szCs w:val="24"/>
          <w:shd w:val="clear" w:color="auto" w:fill="FFFFFF"/>
          <w:lang w:val="en-US"/>
        </w:rPr>
      </w:pPr>
      <w:r w:rsidRPr="006C1FAB">
        <w:rPr>
          <w:color w:val="000000" w:themeColor="text1"/>
          <w:szCs w:val="24"/>
          <w:shd w:val="clear" w:color="auto" w:fill="FFFFFF"/>
          <w:lang w:val="en"/>
        </w:rPr>
        <w:t>Moon J., Choe Y., Song H. (2021),</w:t>
      </w:r>
      <w:r w:rsidRPr="006C1FAB">
        <w:rPr>
          <w:i/>
          <w:iCs/>
          <w:color w:val="000000" w:themeColor="text1"/>
          <w:szCs w:val="24"/>
          <w:shd w:val="clear" w:color="auto" w:fill="FFFFFF"/>
          <w:lang w:val="en"/>
        </w:rPr>
        <w:t xml:space="preserve"> Determinants of Consumers' Online/Offline Shopping </w:t>
      </w:r>
      <w:proofErr w:type="spellStart"/>
      <w:r w:rsidRPr="006C1FAB">
        <w:rPr>
          <w:i/>
          <w:iCs/>
          <w:color w:val="000000" w:themeColor="text1"/>
          <w:szCs w:val="24"/>
          <w:shd w:val="clear" w:color="auto" w:fill="FFFFFF"/>
          <w:lang w:val="en"/>
        </w:rPr>
        <w:t>Behaviours</w:t>
      </w:r>
      <w:proofErr w:type="spellEnd"/>
      <w:r w:rsidRPr="006C1FAB">
        <w:rPr>
          <w:i/>
          <w:iCs/>
          <w:color w:val="000000" w:themeColor="text1"/>
          <w:szCs w:val="24"/>
          <w:shd w:val="clear" w:color="auto" w:fill="FFFFFF"/>
          <w:lang w:val="en"/>
        </w:rPr>
        <w:t xml:space="preserve"> during the COVID-19 Pandemic</w:t>
      </w:r>
      <w:r w:rsidRPr="006C1FAB">
        <w:rPr>
          <w:color w:val="000000" w:themeColor="text1"/>
          <w:szCs w:val="24"/>
          <w:shd w:val="clear" w:color="auto" w:fill="FFFFFF"/>
          <w:lang w:val="en"/>
        </w:rPr>
        <w:t xml:space="preserve">. International Journal of </w:t>
      </w:r>
      <w:r w:rsidRPr="006C1FAB">
        <w:rPr>
          <w:color w:val="000000" w:themeColor="text1"/>
          <w:szCs w:val="24"/>
          <w:shd w:val="clear" w:color="auto" w:fill="FFFFFF"/>
          <w:lang w:val="en"/>
        </w:rPr>
        <w:lastRenderedPageBreak/>
        <w:t xml:space="preserve">Environmental Research and Public Health 18, no. 4: 1593. </w:t>
      </w:r>
      <w:r w:rsidRPr="006C1FAB">
        <w:rPr>
          <w:color w:val="000000" w:themeColor="text1"/>
          <w:lang w:val="en"/>
        </w:rPr>
        <w:t xml:space="preserve"> </w:t>
      </w:r>
      <w:hyperlink r:id="rId18" w:history="1">
        <w:r w:rsidRPr="006C1FAB">
          <w:rPr>
            <w:rStyle w:val="Hipervnculo"/>
            <w:color w:val="000000" w:themeColor="text1"/>
            <w:szCs w:val="24"/>
            <w:shd w:val="clear" w:color="auto" w:fill="FFFFFF"/>
            <w:lang w:val="en"/>
          </w:rPr>
          <w:t>https://doi.org/10.3390/ijerph18041593</w:t>
        </w:r>
      </w:hyperlink>
    </w:p>
    <w:p w14:paraId="30C21A3E" w14:textId="13F72F24" w:rsidR="001946D5" w:rsidRPr="006C1FAB" w:rsidRDefault="001946D5" w:rsidP="006C1FAB">
      <w:pPr>
        <w:spacing w:line="240" w:lineRule="auto"/>
        <w:ind w:left="-567" w:right="-851" w:firstLine="0"/>
        <w:rPr>
          <w:rFonts w:cs="Times New Roman"/>
          <w:color w:val="000000" w:themeColor="text1"/>
          <w:szCs w:val="24"/>
          <w:lang w:val="pt-PT"/>
        </w:rPr>
      </w:pPr>
      <w:r w:rsidRPr="006C1FAB">
        <w:rPr>
          <w:rFonts w:cs="Times New Roman"/>
          <w:color w:val="000000" w:themeColor="text1"/>
          <w:szCs w:val="24"/>
          <w:lang w:val="en-US"/>
        </w:rPr>
        <w:t>Olivera-</w:t>
      </w:r>
      <w:proofErr w:type="spellStart"/>
      <w:r w:rsidRPr="006C1FAB">
        <w:rPr>
          <w:rFonts w:cs="Times New Roman"/>
          <w:color w:val="000000" w:themeColor="text1"/>
          <w:szCs w:val="24"/>
          <w:lang w:val="en-US"/>
        </w:rPr>
        <w:t>Ranero</w:t>
      </w:r>
      <w:proofErr w:type="spellEnd"/>
      <w:r w:rsidRPr="006C1FAB">
        <w:rPr>
          <w:rFonts w:cs="Times New Roman"/>
          <w:color w:val="000000" w:themeColor="text1"/>
          <w:szCs w:val="24"/>
          <w:lang w:val="en-US"/>
        </w:rPr>
        <w:t xml:space="preserve"> A. (2020)</w:t>
      </w:r>
      <w:r w:rsidR="00655D97" w:rsidRPr="006C1FAB">
        <w:rPr>
          <w:rFonts w:cs="Times New Roman"/>
          <w:color w:val="000000" w:themeColor="text1"/>
          <w:szCs w:val="24"/>
          <w:lang w:val="en-US"/>
        </w:rPr>
        <w:t>,</w:t>
      </w:r>
      <w:r w:rsidRPr="006C1FAB">
        <w:rPr>
          <w:rFonts w:cs="Times New Roman"/>
          <w:color w:val="000000" w:themeColor="text1"/>
          <w:szCs w:val="24"/>
          <w:lang w:val="en-US"/>
        </w:rPr>
        <w:t xml:space="preserve"> </w:t>
      </w:r>
      <w:r w:rsidRPr="006C1FAB">
        <w:rPr>
          <w:rFonts w:cs="Times New Roman"/>
          <w:i/>
          <w:iCs/>
          <w:color w:val="000000" w:themeColor="text1"/>
          <w:szCs w:val="24"/>
          <w:lang w:val="en-US"/>
        </w:rPr>
        <w:t>Globalization, Urbanization and Health: Impacts from COVID-19</w:t>
      </w:r>
      <w:r w:rsidRPr="006C1FAB">
        <w:rPr>
          <w:rFonts w:cs="Times New Roman"/>
          <w:color w:val="000000" w:themeColor="text1"/>
          <w:szCs w:val="24"/>
          <w:lang w:val="en-US"/>
        </w:rPr>
        <w:t xml:space="preserve">. </w:t>
      </w:r>
      <w:r w:rsidRPr="006C1FAB">
        <w:rPr>
          <w:rFonts w:cs="Times New Roman"/>
          <w:iCs/>
          <w:color w:val="000000" w:themeColor="text1"/>
          <w:szCs w:val="24"/>
          <w:lang w:val="pt-PT"/>
        </w:rPr>
        <w:t>Arquitectura y Urbanismo</w:t>
      </w:r>
      <w:r w:rsidRPr="006C1FAB">
        <w:rPr>
          <w:rFonts w:cs="Times New Roman"/>
          <w:color w:val="000000" w:themeColor="text1"/>
          <w:szCs w:val="24"/>
          <w:lang w:val="pt-PT"/>
        </w:rPr>
        <w:t>, 6-17.</w:t>
      </w:r>
    </w:p>
    <w:p w14:paraId="5BD70364" w14:textId="3EFD8F01" w:rsidR="001946D5" w:rsidRPr="006C1FAB" w:rsidRDefault="001946D5" w:rsidP="006C1FAB">
      <w:pPr>
        <w:spacing w:line="240" w:lineRule="auto"/>
        <w:ind w:left="-567" w:right="-851" w:firstLine="0"/>
        <w:rPr>
          <w:rFonts w:cs="Times New Roman"/>
          <w:color w:val="000000" w:themeColor="text1"/>
          <w:szCs w:val="24"/>
          <w:lang w:val="fr-FR"/>
        </w:rPr>
      </w:pPr>
      <w:r w:rsidRPr="006C1FAB">
        <w:rPr>
          <w:rFonts w:cs="Times New Roman"/>
          <w:color w:val="000000" w:themeColor="text1"/>
          <w:szCs w:val="24"/>
          <w:lang w:val="it-IT"/>
        </w:rPr>
        <w:t>Pahl R. (1966)</w:t>
      </w:r>
      <w:r w:rsidR="00655D97" w:rsidRPr="006C1FAB">
        <w:rPr>
          <w:rFonts w:cs="Times New Roman"/>
          <w:color w:val="000000" w:themeColor="text1"/>
          <w:szCs w:val="24"/>
          <w:lang w:val="it-IT"/>
        </w:rPr>
        <w:t>,</w:t>
      </w:r>
      <w:r w:rsidRPr="006C1FAB">
        <w:rPr>
          <w:rFonts w:cs="Times New Roman"/>
          <w:color w:val="000000" w:themeColor="text1"/>
          <w:szCs w:val="24"/>
          <w:lang w:val="it-IT"/>
        </w:rPr>
        <w:t xml:space="preserve"> </w:t>
      </w:r>
      <w:r w:rsidRPr="006C1FAB">
        <w:rPr>
          <w:rFonts w:cs="Times New Roman"/>
          <w:i/>
          <w:iCs/>
          <w:color w:val="000000" w:themeColor="text1"/>
          <w:szCs w:val="24"/>
          <w:lang w:val="it-IT"/>
        </w:rPr>
        <w:t>The urban-rural continuum</w:t>
      </w:r>
      <w:r w:rsidRPr="006C1FAB">
        <w:rPr>
          <w:rFonts w:cs="Times New Roman"/>
          <w:color w:val="000000" w:themeColor="text1"/>
          <w:szCs w:val="24"/>
          <w:lang w:val="it-IT"/>
        </w:rPr>
        <w:t xml:space="preserve">. </w:t>
      </w:r>
      <w:proofErr w:type="spellStart"/>
      <w:r w:rsidRPr="006C1FAB">
        <w:rPr>
          <w:rFonts w:cs="Times New Roman"/>
          <w:iCs/>
          <w:color w:val="000000" w:themeColor="text1"/>
          <w:szCs w:val="24"/>
          <w:lang w:val="fr-FR"/>
        </w:rPr>
        <w:t>Sociologi</w:t>
      </w:r>
      <w:proofErr w:type="spellEnd"/>
      <w:r w:rsidRPr="006C1FAB">
        <w:rPr>
          <w:rFonts w:cs="Times New Roman"/>
          <w:iCs/>
          <w:color w:val="000000" w:themeColor="text1"/>
          <w:szCs w:val="24"/>
          <w:lang w:val="fr-FR"/>
        </w:rPr>
        <w:t xml:space="preserve"> </w:t>
      </w:r>
      <w:proofErr w:type="spellStart"/>
      <w:r w:rsidRPr="006C1FAB">
        <w:rPr>
          <w:rFonts w:cs="Times New Roman"/>
          <w:iCs/>
          <w:color w:val="000000" w:themeColor="text1"/>
          <w:szCs w:val="24"/>
          <w:lang w:val="fr-FR"/>
        </w:rPr>
        <w:t>Ruralis</w:t>
      </w:r>
      <w:proofErr w:type="spellEnd"/>
      <w:r w:rsidRPr="006C1FAB">
        <w:rPr>
          <w:rFonts w:cs="Times New Roman"/>
          <w:color w:val="000000" w:themeColor="text1"/>
          <w:szCs w:val="24"/>
          <w:lang w:val="fr-FR"/>
        </w:rPr>
        <w:t>, 1(6), 299-327. http//doi.org/10.1111/j.1467-</w:t>
      </w:r>
      <w:proofErr w:type="gramStart"/>
      <w:r w:rsidRPr="006C1FAB">
        <w:rPr>
          <w:rFonts w:cs="Times New Roman"/>
          <w:color w:val="000000" w:themeColor="text1"/>
          <w:szCs w:val="24"/>
          <w:lang w:val="fr-FR"/>
        </w:rPr>
        <w:t>8523.1966.tb</w:t>
      </w:r>
      <w:proofErr w:type="gramEnd"/>
      <w:r w:rsidRPr="006C1FAB">
        <w:rPr>
          <w:rFonts w:cs="Times New Roman"/>
          <w:color w:val="000000" w:themeColor="text1"/>
          <w:szCs w:val="24"/>
          <w:lang w:val="fr-FR"/>
        </w:rPr>
        <w:t>0537.s</w:t>
      </w:r>
    </w:p>
    <w:p w14:paraId="27187FE9" w14:textId="16A4962E" w:rsidR="00911C22" w:rsidRPr="006C1FAB" w:rsidRDefault="00911C22" w:rsidP="006C1FAB">
      <w:pPr>
        <w:spacing w:line="240" w:lineRule="auto"/>
        <w:ind w:left="-567" w:right="-851" w:firstLine="0"/>
        <w:rPr>
          <w:rFonts w:cs="Times New Roman"/>
          <w:color w:val="000000" w:themeColor="text1"/>
          <w:szCs w:val="24"/>
          <w:lang w:val="fr-FR"/>
        </w:rPr>
      </w:pPr>
      <w:r w:rsidRPr="006C1FAB">
        <w:rPr>
          <w:rFonts w:cs="Times New Roman"/>
          <w:color w:val="000000" w:themeColor="text1"/>
          <w:szCs w:val="24"/>
          <w:shd w:val="clear" w:color="auto" w:fill="FFFFFF"/>
          <w:lang w:val="es-ES"/>
        </w:rPr>
        <w:t>Pazos Otón M. (2003)</w:t>
      </w:r>
      <w:r w:rsidR="00B106C7" w:rsidRPr="006C1FAB">
        <w:rPr>
          <w:rFonts w:cs="Times New Roman"/>
          <w:color w:val="000000" w:themeColor="text1"/>
          <w:szCs w:val="24"/>
          <w:shd w:val="clear" w:color="auto" w:fill="FFFFFF"/>
          <w:lang w:val="es-ES"/>
        </w:rPr>
        <w:t>,</w:t>
      </w:r>
      <w:r w:rsidRPr="006C1FAB">
        <w:rPr>
          <w:rFonts w:cs="Times New Roman"/>
          <w:color w:val="000000" w:themeColor="text1"/>
          <w:szCs w:val="24"/>
          <w:shd w:val="clear" w:color="auto" w:fill="FFFFFF"/>
          <w:lang w:val="es-ES"/>
        </w:rPr>
        <w:t xml:space="preserve"> </w:t>
      </w:r>
      <w:r w:rsidRPr="006C1FAB">
        <w:rPr>
          <w:rFonts w:cs="Times New Roman"/>
          <w:i/>
          <w:iCs/>
          <w:color w:val="000000" w:themeColor="text1"/>
          <w:szCs w:val="24"/>
          <w:shd w:val="clear" w:color="auto" w:fill="FFFFFF"/>
          <w:lang w:val="es-ES"/>
        </w:rPr>
        <w:t>El estudio geográfico de la movilidad: un análisis histórico-evolutivo</w:t>
      </w:r>
      <w:r w:rsidRPr="006C1FAB">
        <w:rPr>
          <w:rFonts w:cs="Times New Roman"/>
          <w:color w:val="000000" w:themeColor="text1"/>
          <w:szCs w:val="24"/>
          <w:shd w:val="clear" w:color="auto" w:fill="FFFFFF"/>
          <w:lang w:val="es-ES"/>
        </w:rPr>
        <w:t xml:space="preserve">. </w:t>
      </w:r>
      <w:proofErr w:type="spellStart"/>
      <w:r w:rsidRPr="006C1FAB">
        <w:rPr>
          <w:rFonts w:cs="Times New Roman"/>
          <w:color w:val="000000" w:themeColor="text1"/>
          <w:szCs w:val="24"/>
          <w:shd w:val="clear" w:color="auto" w:fill="FFFFFF"/>
        </w:rPr>
        <w:t>Xeográfic</w:t>
      </w:r>
      <w:r w:rsidR="00DC5C7A" w:rsidRPr="006C1FAB">
        <w:rPr>
          <w:rFonts w:cs="Times New Roman"/>
          <w:color w:val="000000" w:themeColor="text1"/>
          <w:szCs w:val="24"/>
          <w:shd w:val="clear" w:color="auto" w:fill="FFFFFF"/>
        </w:rPr>
        <w:t>a</w:t>
      </w:r>
      <w:proofErr w:type="spellEnd"/>
      <w:r w:rsidR="00B106C7" w:rsidRPr="006C1FAB">
        <w:rPr>
          <w:rFonts w:cs="Times New Roman"/>
          <w:color w:val="000000" w:themeColor="text1"/>
          <w:szCs w:val="24"/>
          <w:shd w:val="clear" w:color="auto" w:fill="FFFFFF"/>
        </w:rPr>
        <w:t xml:space="preserve">, </w:t>
      </w:r>
      <w:proofErr w:type="spellStart"/>
      <w:r w:rsidR="00B106C7" w:rsidRPr="006C1FAB">
        <w:rPr>
          <w:rFonts w:cs="Times New Roman"/>
          <w:color w:val="000000" w:themeColor="text1"/>
          <w:szCs w:val="24"/>
          <w:shd w:val="clear" w:color="auto" w:fill="FFFFFF"/>
        </w:rPr>
        <w:t>Universidade</w:t>
      </w:r>
      <w:proofErr w:type="spellEnd"/>
      <w:r w:rsidR="00B106C7" w:rsidRPr="006C1FAB">
        <w:rPr>
          <w:rFonts w:cs="Times New Roman"/>
          <w:color w:val="000000" w:themeColor="text1"/>
          <w:szCs w:val="24"/>
          <w:shd w:val="clear" w:color="auto" w:fill="FFFFFF"/>
        </w:rPr>
        <w:t xml:space="preserve"> de Santiago de Compostela, </w:t>
      </w:r>
      <w:r w:rsidRPr="006C1FAB">
        <w:rPr>
          <w:rFonts w:cs="Times New Roman"/>
          <w:color w:val="000000" w:themeColor="text1"/>
          <w:szCs w:val="24"/>
          <w:shd w:val="clear" w:color="auto" w:fill="FFFFFF"/>
        </w:rPr>
        <w:t>pp. 101-119.</w:t>
      </w:r>
    </w:p>
    <w:p w14:paraId="32F22133" w14:textId="479DF667" w:rsidR="00DC5C7A" w:rsidRPr="006C1FAB" w:rsidRDefault="00DC5C7A" w:rsidP="006C1FAB">
      <w:pPr>
        <w:spacing w:line="240" w:lineRule="auto"/>
        <w:ind w:left="-567" w:right="-851" w:firstLine="0"/>
        <w:rPr>
          <w:rFonts w:cs="Times New Roman"/>
          <w:color w:val="000000" w:themeColor="text1"/>
          <w:szCs w:val="24"/>
          <w:shd w:val="clear" w:color="auto" w:fill="FFFFFF"/>
          <w:lang w:val="en-US"/>
        </w:rPr>
      </w:pPr>
      <w:r w:rsidRPr="006C1FAB">
        <w:rPr>
          <w:rFonts w:cs="Times New Roman"/>
          <w:color w:val="000000" w:themeColor="text1"/>
          <w:szCs w:val="24"/>
          <w:shd w:val="clear" w:color="auto" w:fill="FFFFFF"/>
          <w:lang w:val="en-US"/>
        </w:rPr>
        <w:t>Rao JS, Zhang H</w:t>
      </w:r>
      <w:r w:rsidR="00B106C7" w:rsidRPr="006C1FAB">
        <w:rPr>
          <w:rFonts w:cs="Times New Roman"/>
          <w:color w:val="000000" w:themeColor="text1"/>
          <w:szCs w:val="24"/>
          <w:shd w:val="clear" w:color="auto" w:fill="FFFFFF"/>
          <w:lang w:val="en-US"/>
        </w:rPr>
        <w:t>,</w:t>
      </w:r>
      <w:r w:rsidRPr="006C1FAB">
        <w:rPr>
          <w:rFonts w:cs="Times New Roman"/>
          <w:color w:val="000000" w:themeColor="text1"/>
          <w:szCs w:val="24"/>
          <w:shd w:val="clear" w:color="auto" w:fill="FFFFFF"/>
          <w:lang w:val="en-US"/>
        </w:rPr>
        <w:t xml:space="preserve"> </w:t>
      </w:r>
      <w:proofErr w:type="spellStart"/>
      <w:r w:rsidRPr="006C1FAB">
        <w:rPr>
          <w:rFonts w:cs="Times New Roman"/>
          <w:color w:val="000000" w:themeColor="text1"/>
          <w:szCs w:val="24"/>
          <w:shd w:val="clear" w:color="auto" w:fill="FFFFFF"/>
          <w:lang w:val="en-US"/>
        </w:rPr>
        <w:t>Mantero</w:t>
      </w:r>
      <w:proofErr w:type="spellEnd"/>
      <w:r w:rsidRPr="006C1FAB">
        <w:rPr>
          <w:rFonts w:cs="Times New Roman"/>
          <w:color w:val="000000" w:themeColor="text1"/>
          <w:szCs w:val="24"/>
          <w:shd w:val="clear" w:color="auto" w:fill="FFFFFF"/>
          <w:lang w:val="en-US"/>
        </w:rPr>
        <w:t xml:space="preserve"> A. (2020)</w:t>
      </w:r>
      <w:r w:rsidR="00B106C7" w:rsidRPr="006C1FAB">
        <w:rPr>
          <w:rFonts w:cs="Times New Roman"/>
          <w:color w:val="000000" w:themeColor="text1"/>
          <w:szCs w:val="24"/>
          <w:shd w:val="clear" w:color="auto" w:fill="FFFFFF"/>
          <w:lang w:val="en-US"/>
        </w:rPr>
        <w:t>,</w:t>
      </w:r>
      <w:r w:rsidRPr="006C1FAB">
        <w:rPr>
          <w:rFonts w:cs="Times New Roman"/>
          <w:color w:val="000000" w:themeColor="text1"/>
          <w:szCs w:val="24"/>
          <w:shd w:val="clear" w:color="auto" w:fill="FFFFFF"/>
          <w:lang w:val="en-US"/>
        </w:rPr>
        <w:t xml:space="preserve"> </w:t>
      </w:r>
      <w:r w:rsidRPr="006C1FAB">
        <w:rPr>
          <w:rFonts w:cs="Times New Roman"/>
          <w:i/>
          <w:iCs/>
          <w:color w:val="000000" w:themeColor="text1"/>
          <w:szCs w:val="24"/>
          <w:shd w:val="clear" w:color="auto" w:fill="FFFFFF"/>
          <w:lang w:val="en-US"/>
        </w:rPr>
        <w:t>Contextualizing COVID-19 spread: a county level analysis, urban versus rural, and implications for preparing for the next wave</w:t>
      </w:r>
      <w:r w:rsidRPr="006C1FAB">
        <w:rPr>
          <w:rFonts w:cs="Times New Roman"/>
          <w:color w:val="000000" w:themeColor="text1"/>
          <w:szCs w:val="24"/>
          <w:shd w:val="clear" w:color="auto" w:fill="FFFFFF"/>
          <w:lang w:val="en-US"/>
        </w:rPr>
        <w:t xml:space="preserve">. F1000Research 2020, 9:418 </w:t>
      </w:r>
      <w:hyperlink r:id="rId19" w:history="1">
        <w:r w:rsidR="00B106C7" w:rsidRPr="006C1FAB">
          <w:rPr>
            <w:rStyle w:val="Hipervnculo"/>
            <w:rFonts w:cs="Times New Roman"/>
            <w:color w:val="000000" w:themeColor="text1"/>
            <w:szCs w:val="24"/>
            <w:shd w:val="clear" w:color="auto" w:fill="FFFFFF"/>
            <w:lang w:val="en-US"/>
          </w:rPr>
          <w:t>https://doi.org/10.12688/f1000research.23903.1</w:t>
        </w:r>
      </w:hyperlink>
      <w:r w:rsidR="00B106C7" w:rsidRPr="006C1FAB">
        <w:rPr>
          <w:rFonts w:cs="Times New Roman"/>
          <w:color w:val="000000" w:themeColor="text1"/>
          <w:szCs w:val="24"/>
          <w:shd w:val="clear" w:color="auto" w:fill="FFFFFF"/>
          <w:lang w:val="en-US"/>
        </w:rPr>
        <w:t xml:space="preserve"> </w:t>
      </w:r>
    </w:p>
    <w:p w14:paraId="33612480" w14:textId="362AB7DC" w:rsidR="001946D5" w:rsidRPr="006C1FAB" w:rsidRDefault="00676E3C" w:rsidP="006C1FAB">
      <w:pPr>
        <w:spacing w:line="240" w:lineRule="auto"/>
        <w:ind w:left="-567" w:right="-851" w:firstLine="0"/>
        <w:rPr>
          <w:rFonts w:cs="Times New Roman"/>
          <w:i/>
          <w:color w:val="000000" w:themeColor="text1"/>
          <w:szCs w:val="24"/>
          <w:lang w:val="en-US"/>
        </w:rPr>
      </w:pPr>
      <w:r w:rsidRPr="006C1FAB">
        <w:rPr>
          <w:rFonts w:cs="Times New Roman"/>
          <w:color w:val="000000" w:themeColor="text1"/>
          <w:szCs w:val="24"/>
          <w:lang w:val="en-US"/>
        </w:rPr>
        <w:t>UN-Habitat (2020)</w:t>
      </w:r>
      <w:r w:rsidR="00B106C7" w:rsidRPr="006C1FAB">
        <w:rPr>
          <w:rFonts w:cs="Times New Roman"/>
          <w:color w:val="000000" w:themeColor="text1"/>
          <w:szCs w:val="24"/>
          <w:lang w:val="en-US"/>
        </w:rPr>
        <w:t>,</w:t>
      </w:r>
      <w:r w:rsidRPr="006C1FAB">
        <w:rPr>
          <w:rFonts w:cs="Times New Roman"/>
          <w:color w:val="000000" w:themeColor="text1"/>
          <w:szCs w:val="24"/>
          <w:lang w:val="en-US"/>
        </w:rPr>
        <w:t xml:space="preserve"> </w:t>
      </w:r>
      <w:proofErr w:type="spellStart"/>
      <w:r w:rsidRPr="006C1FAB">
        <w:rPr>
          <w:rFonts w:cs="Times New Roman"/>
          <w:i/>
          <w:color w:val="000000" w:themeColor="text1"/>
          <w:szCs w:val="24"/>
          <w:lang w:val="en-US"/>
        </w:rPr>
        <w:t>Citiesand</w:t>
      </w:r>
      <w:proofErr w:type="spellEnd"/>
      <w:r w:rsidRPr="006C1FAB">
        <w:rPr>
          <w:rFonts w:cs="Times New Roman"/>
          <w:i/>
          <w:color w:val="000000" w:themeColor="text1"/>
          <w:szCs w:val="24"/>
          <w:lang w:val="en-US"/>
        </w:rPr>
        <w:t xml:space="preserve"> Pandemics: Towards a More Just, Green </w:t>
      </w:r>
      <w:proofErr w:type="gramStart"/>
      <w:r w:rsidRPr="006C1FAB">
        <w:rPr>
          <w:rFonts w:cs="Times New Roman"/>
          <w:i/>
          <w:color w:val="000000" w:themeColor="text1"/>
          <w:szCs w:val="24"/>
          <w:lang w:val="en-US"/>
        </w:rPr>
        <w:t>an</w:t>
      </w:r>
      <w:proofErr w:type="gramEnd"/>
      <w:r w:rsidRPr="006C1FAB">
        <w:rPr>
          <w:rFonts w:cs="Times New Roman"/>
          <w:i/>
          <w:color w:val="000000" w:themeColor="text1"/>
          <w:szCs w:val="24"/>
          <w:lang w:val="en-US"/>
        </w:rPr>
        <w:t xml:space="preserve"> Healthy Future</w:t>
      </w:r>
      <w:r w:rsidRPr="006C1FAB">
        <w:rPr>
          <w:rFonts w:cs="Times New Roman"/>
          <w:color w:val="000000" w:themeColor="text1"/>
          <w:szCs w:val="24"/>
          <w:lang w:val="en-US"/>
        </w:rPr>
        <w:t>. UN-Habitat: Nairobi.</w:t>
      </w:r>
    </w:p>
    <w:p w14:paraId="0BCB5FC5" w14:textId="2D610C17" w:rsidR="00676E3C" w:rsidRPr="006C1FAB" w:rsidRDefault="00676E3C" w:rsidP="006C1FAB">
      <w:pPr>
        <w:spacing w:line="240" w:lineRule="auto"/>
        <w:ind w:left="-567" w:right="-851" w:firstLine="0"/>
        <w:rPr>
          <w:rFonts w:cs="Times New Roman"/>
          <w:color w:val="000000" w:themeColor="text1"/>
          <w:szCs w:val="24"/>
        </w:rPr>
      </w:pPr>
      <w:r w:rsidRPr="006C1FAB">
        <w:rPr>
          <w:rFonts w:cs="Times New Roman"/>
          <w:color w:val="000000" w:themeColor="text1"/>
          <w:szCs w:val="24"/>
          <w:lang w:val="en-US"/>
        </w:rPr>
        <w:t>Wolfe N.D.</w:t>
      </w:r>
      <w:r w:rsidR="00B106C7" w:rsidRPr="006C1FAB">
        <w:rPr>
          <w:rFonts w:cs="Times New Roman"/>
          <w:color w:val="000000" w:themeColor="text1"/>
          <w:szCs w:val="24"/>
          <w:lang w:val="en-US"/>
        </w:rPr>
        <w:t>,</w:t>
      </w:r>
      <w:r w:rsidRPr="006C1FAB">
        <w:rPr>
          <w:rFonts w:cs="Times New Roman"/>
          <w:color w:val="000000" w:themeColor="text1"/>
          <w:szCs w:val="24"/>
          <w:lang w:val="en-US"/>
        </w:rPr>
        <w:t xml:space="preserve"> Panosian C.</w:t>
      </w:r>
      <w:r w:rsidR="00B106C7" w:rsidRPr="006C1FAB">
        <w:rPr>
          <w:rFonts w:cs="Times New Roman"/>
          <w:color w:val="000000" w:themeColor="text1"/>
          <w:szCs w:val="24"/>
          <w:lang w:val="en-US"/>
        </w:rPr>
        <w:t>,</w:t>
      </w:r>
      <w:r w:rsidRPr="006C1FAB">
        <w:rPr>
          <w:rFonts w:cs="Times New Roman"/>
          <w:color w:val="000000" w:themeColor="text1"/>
          <w:szCs w:val="24"/>
          <w:lang w:val="en-US"/>
        </w:rPr>
        <w:t xml:space="preserve"> Diamond J. (2007)</w:t>
      </w:r>
      <w:r w:rsidR="00B106C7" w:rsidRPr="006C1FAB">
        <w:rPr>
          <w:rFonts w:cs="Times New Roman"/>
          <w:color w:val="000000" w:themeColor="text1"/>
          <w:szCs w:val="24"/>
          <w:lang w:val="en-US"/>
        </w:rPr>
        <w:t>,</w:t>
      </w:r>
      <w:r w:rsidRPr="006C1FAB">
        <w:rPr>
          <w:rFonts w:cs="Times New Roman"/>
          <w:color w:val="000000" w:themeColor="text1"/>
          <w:szCs w:val="24"/>
          <w:lang w:val="en-US"/>
        </w:rPr>
        <w:t xml:space="preserve"> </w:t>
      </w:r>
      <w:r w:rsidRPr="006C1FAB">
        <w:rPr>
          <w:rFonts w:cs="Times New Roman"/>
          <w:i/>
          <w:iCs/>
          <w:color w:val="000000" w:themeColor="text1"/>
          <w:szCs w:val="24"/>
          <w:lang w:val="en-US"/>
        </w:rPr>
        <w:t>Origins of major human infectious diseases</w:t>
      </w:r>
      <w:r w:rsidRPr="006C1FAB">
        <w:rPr>
          <w:rFonts w:cs="Times New Roman"/>
          <w:color w:val="000000" w:themeColor="text1"/>
          <w:szCs w:val="24"/>
          <w:lang w:val="en-US"/>
        </w:rPr>
        <w:t xml:space="preserve">. </w:t>
      </w:r>
      <w:r w:rsidRPr="006C1FAB">
        <w:rPr>
          <w:rFonts w:cs="Times New Roman"/>
          <w:iCs/>
          <w:color w:val="000000" w:themeColor="text1"/>
          <w:szCs w:val="24"/>
        </w:rPr>
        <w:t>Nature</w:t>
      </w:r>
      <w:r w:rsidRPr="006C1FAB">
        <w:rPr>
          <w:rFonts w:cs="Times New Roman"/>
          <w:color w:val="000000" w:themeColor="text1"/>
          <w:szCs w:val="24"/>
        </w:rPr>
        <w:t>, Vol. 447/17 May 2007. http//doi.org/101038/nature05775</w:t>
      </w:r>
    </w:p>
    <w:p w14:paraId="1AAA4E55" w14:textId="77777777" w:rsidR="0076719D" w:rsidRPr="006C1FAB" w:rsidRDefault="0076719D" w:rsidP="006C1FAB">
      <w:pPr>
        <w:spacing w:line="240" w:lineRule="auto"/>
        <w:ind w:left="-567" w:right="-851" w:firstLine="0"/>
        <w:rPr>
          <w:rFonts w:cs="Times New Roman"/>
          <w:color w:val="000000" w:themeColor="text1"/>
          <w:szCs w:val="24"/>
          <w:lang w:val="fr-FR"/>
        </w:rPr>
      </w:pPr>
    </w:p>
    <w:sectPr w:rsidR="0076719D" w:rsidRPr="006C1FAB" w:rsidSect="007C6D29">
      <w:headerReference w:type="even" r:id="rId20"/>
      <w:headerReference w:type="default" r:id="rId21"/>
      <w:footerReference w:type="even" r:id="rId22"/>
      <w:footerReference w:type="default" r:id="rId23"/>
      <w:headerReference w:type="first" r:id="rId24"/>
      <w:footerReference w:type="first" r:id="rId25"/>
      <w:pgSz w:w="9639" w:h="13608" w:code="9"/>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AA48" w14:textId="77777777" w:rsidR="00EE628E" w:rsidRDefault="00EE628E">
      <w:pPr>
        <w:spacing w:after="0" w:line="240" w:lineRule="auto"/>
      </w:pPr>
      <w:r>
        <w:separator/>
      </w:r>
    </w:p>
  </w:endnote>
  <w:endnote w:type="continuationSeparator" w:id="0">
    <w:p w14:paraId="69F91DE4" w14:textId="77777777" w:rsidR="00EE628E" w:rsidRDefault="00EE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nner* Light">
    <w:altName w:val="Calibri"/>
    <w:panose1 w:val="00000000000000000000"/>
    <w:charset w:val="00"/>
    <w:family w:val="modern"/>
    <w:notTrueType/>
    <w:pitch w:val="variable"/>
    <w:sig w:usb0="8000002F" w:usb1="00000053" w:usb2="00000000" w:usb3="00000000" w:csb0="0000001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F66E" w14:textId="77777777" w:rsidR="00855D19" w:rsidRDefault="00855D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A2EB" w14:textId="77777777" w:rsidR="00855D19" w:rsidRDefault="00855D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E107" w14:textId="77777777" w:rsidR="007C6D29" w:rsidRDefault="007C6D29" w:rsidP="007C6D29">
    <w:pPr>
      <w:pStyle w:val="Piedepgina"/>
      <w:rPr>
        <w:sz w:val="20"/>
      </w:rPr>
    </w:pPr>
  </w:p>
  <w:p w14:paraId="3D08DA60" w14:textId="24261271" w:rsidR="007C6D29" w:rsidRPr="007C6D29" w:rsidRDefault="007C6D29" w:rsidP="007C6D29">
    <w:pPr>
      <w:pStyle w:val="Piedepgin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3D51" w14:textId="77777777" w:rsidR="00EE628E" w:rsidRDefault="00EE628E">
      <w:pPr>
        <w:spacing w:after="0" w:line="240" w:lineRule="auto"/>
      </w:pPr>
      <w:r>
        <w:separator/>
      </w:r>
    </w:p>
  </w:footnote>
  <w:footnote w:type="continuationSeparator" w:id="0">
    <w:p w14:paraId="4C5F0532" w14:textId="77777777" w:rsidR="00EE628E" w:rsidRDefault="00EE628E">
      <w:pPr>
        <w:spacing w:after="0" w:line="240" w:lineRule="auto"/>
      </w:pPr>
      <w:r>
        <w:continuationSeparator/>
      </w:r>
    </w:p>
  </w:footnote>
  <w:footnote w:id="1">
    <w:p w14:paraId="4EDA1E46" w14:textId="308122AD" w:rsidR="006E184D" w:rsidRPr="006C1FAB" w:rsidRDefault="006E184D" w:rsidP="006C1FAB">
      <w:pPr>
        <w:pStyle w:val="Textonotapie"/>
        <w:ind w:left="-567" w:firstLine="0"/>
        <w:rPr>
          <w:color w:val="000000" w:themeColor="text1"/>
          <w:lang w:val="es-ES"/>
        </w:rPr>
      </w:pPr>
      <w:r w:rsidRPr="006C1FAB">
        <w:rPr>
          <w:rStyle w:val="Refdenotaalpie"/>
          <w:color w:val="000000" w:themeColor="text1"/>
        </w:rPr>
        <w:footnoteRef/>
      </w:r>
      <w:r w:rsidRPr="00DF0D16">
        <w:rPr>
          <w:color w:val="000000" w:themeColor="text1"/>
          <w:lang w:val="es-ES"/>
        </w:rPr>
        <w:t xml:space="preserve"> </w:t>
      </w:r>
      <w:r w:rsidRPr="006C1FAB">
        <w:rPr>
          <w:color w:val="000000" w:themeColor="text1"/>
          <w:lang w:val="es-ES"/>
        </w:rPr>
        <w:t xml:space="preserve">Moon et al., 2021; </w:t>
      </w:r>
      <w:proofErr w:type="spellStart"/>
      <w:r w:rsidRPr="006C1FAB">
        <w:rPr>
          <w:color w:val="000000" w:themeColor="text1"/>
          <w:lang w:val="es-ES"/>
        </w:rPr>
        <w:t>Hasibuan</w:t>
      </w:r>
      <w:proofErr w:type="spellEnd"/>
      <w:r w:rsidRPr="006C1FAB">
        <w:rPr>
          <w:color w:val="000000" w:themeColor="text1"/>
          <w:lang w:val="es-ES"/>
        </w:rPr>
        <w:t xml:space="preserve"> et al., 2021</w:t>
      </w:r>
      <w:r w:rsidR="006C1FAB">
        <w:rPr>
          <w:color w:val="000000" w:themeColor="text1"/>
          <w:lang w:val="es-ES"/>
        </w:rPr>
        <w:t>.</w:t>
      </w:r>
    </w:p>
  </w:footnote>
  <w:footnote w:id="2">
    <w:p w14:paraId="60084CD2" w14:textId="651C1D03" w:rsidR="009D53CE" w:rsidRPr="006C1FAB" w:rsidRDefault="00197752" w:rsidP="006C1FAB">
      <w:pPr>
        <w:pStyle w:val="Textonotapie"/>
        <w:ind w:left="-567" w:firstLine="0"/>
        <w:rPr>
          <w:color w:val="000000" w:themeColor="text1"/>
          <w:lang w:val="es-ES"/>
        </w:rPr>
      </w:pPr>
      <w:r w:rsidRPr="006C1FAB">
        <w:rPr>
          <w:rStyle w:val="Refdenotaalpie"/>
          <w:color w:val="000000" w:themeColor="text1"/>
        </w:rPr>
        <w:footnoteRef/>
      </w:r>
      <w:r w:rsidRPr="006C1FAB">
        <w:rPr>
          <w:color w:val="000000" w:themeColor="text1"/>
          <w:lang w:val="es-ES"/>
        </w:rPr>
        <w:t xml:space="preserve"> </w:t>
      </w:r>
      <w:r w:rsidRPr="006C1FAB">
        <w:rPr>
          <w:rFonts w:cstheme="minorHAnsi"/>
          <w:color w:val="000000" w:themeColor="text1"/>
          <w:lang w:val="es-ES"/>
        </w:rPr>
        <w:t xml:space="preserve">Olivera, 2020; Mishra, Gayen and </w:t>
      </w:r>
      <w:proofErr w:type="spellStart"/>
      <w:r w:rsidRPr="006C1FAB">
        <w:rPr>
          <w:rFonts w:cstheme="minorHAnsi"/>
          <w:color w:val="000000" w:themeColor="text1"/>
          <w:lang w:val="es-ES"/>
        </w:rPr>
        <w:t>Haque</w:t>
      </w:r>
      <w:proofErr w:type="spellEnd"/>
      <w:r w:rsidRPr="006C1FAB">
        <w:rPr>
          <w:rFonts w:cstheme="minorHAnsi"/>
          <w:color w:val="000000" w:themeColor="text1"/>
          <w:lang w:val="es-ES"/>
        </w:rPr>
        <w:t>, 2020</w:t>
      </w:r>
      <w:r w:rsidR="006C1FAB">
        <w:rPr>
          <w:rFonts w:cstheme="minorHAnsi"/>
          <w:color w:val="000000" w:themeColor="text1"/>
          <w:lang w:val="es-ES"/>
        </w:rPr>
        <w:t>.</w:t>
      </w:r>
    </w:p>
  </w:footnote>
  <w:footnote w:id="3">
    <w:p w14:paraId="2F327418" w14:textId="59C50903" w:rsidR="009D53CE" w:rsidRPr="00E95963" w:rsidRDefault="00197752" w:rsidP="006C1FAB">
      <w:pPr>
        <w:pStyle w:val="Textonotapie"/>
        <w:ind w:left="-567" w:firstLine="0"/>
        <w:rPr>
          <w:lang w:val="es-ES"/>
        </w:rPr>
      </w:pPr>
      <w:r>
        <w:rPr>
          <w:rStyle w:val="Refdenotaalpie"/>
        </w:rPr>
        <w:footnoteRef/>
      </w:r>
      <w:r w:rsidRPr="00E95963">
        <w:rPr>
          <w:lang w:val="es-ES"/>
        </w:rPr>
        <w:t xml:space="preserve"> </w:t>
      </w:r>
      <w:proofErr w:type="spellStart"/>
      <w:r w:rsidRPr="00E95963">
        <w:rPr>
          <w:rFonts w:cstheme="minorHAnsi"/>
          <w:lang w:val="es-ES"/>
        </w:rPr>
        <w:t>Bercque</w:t>
      </w:r>
      <w:proofErr w:type="spellEnd"/>
      <w:r w:rsidRPr="00E95963">
        <w:rPr>
          <w:rFonts w:cstheme="minorHAnsi"/>
          <w:lang w:val="es-ES"/>
        </w:rPr>
        <w:t>, 2010; Forman, 2014</w:t>
      </w:r>
      <w:r w:rsidR="006C1FAB">
        <w:rPr>
          <w:rFonts w:cstheme="minorHAnsi"/>
          <w:lang w:val="es-ES"/>
        </w:rPr>
        <w:t>.</w:t>
      </w:r>
    </w:p>
  </w:footnote>
  <w:footnote w:id="4">
    <w:p w14:paraId="15E63E6F" w14:textId="76F79586" w:rsidR="009D53CE" w:rsidRPr="00E95963" w:rsidRDefault="00197752" w:rsidP="006C1FAB">
      <w:pPr>
        <w:pStyle w:val="Textonotapie"/>
        <w:ind w:left="-567" w:firstLine="0"/>
        <w:rPr>
          <w:lang w:val="es-ES"/>
        </w:rPr>
      </w:pPr>
      <w:r>
        <w:rPr>
          <w:rStyle w:val="Refdenotaalpie"/>
        </w:rPr>
        <w:footnoteRef/>
      </w:r>
      <w:r w:rsidRPr="00E95963">
        <w:rPr>
          <w:lang w:val="es-ES"/>
        </w:rPr>
        <w:t xml:space="preserve"> </w:t>
      </w:r>
      <w:proofErr w:type="spellStart"/>
      <w:r w:rsidRPr="00E95963">
        <w:rPr>
          <w:rFonts w:cstheme="minorHAnsi"/>
          <w:lang w:val="es-ES"/>
        </w:rPr>
        <w:t>Pahl</w:t>
      </w:r>
      <w:proofErr w:type="spellEnd"/>
      <w:r w:rsidRPr="00E95963">
        <w:rPr>
          <w:rFonts w:cstheme="minorHAnsi"/>
          <w:lang w:val="es-ES"/>
        </w:rPr>
        <w:t xml:space="preserve">, 1966; </w:t>
      </w:r>
      <w:proofErr w:type="spellStart"/>
      <w:r w:rsidRPr="00E95963">
        <w:rPr>
          <w:rFonts w:cstheme="minorHAnsi"/>
          <w:lang w:val="es-ES"/>
        </w:rPr>
        <w:t>Ianos</w:t>
      </w:r>
      <w:proofErr w:type="spellEnd"/>
      <w:r w:rsidRPr="00E95963">
        <w:rPr>
          <w:rFonts w:cstheme="minorHAnsi"/>
          <w:lang w:val="es-ES"/>
        </w:rPr>
        <w:t>, 2008; UN-</w:t>
      </w:r>
      <w:proofErr w:type="spellStart"/>
      <w:r w:rsidRPr="00E95963">
        <w:rPr>
          <w:rFonts w:cstheme="minorHAnsi"/>
          <w:lang w:val="es-ES"/>
        </w:rPr>
        <w:t>Habitat</w:t>
      </w:r>
      <w:proofErr w:type="spellEnd"/>
      <w:r w:rsidRPr="00E95963">
        <w:rPr>
          <w:rFonts w:cstheme="minorHAnsi"/>
          <w:lang w:val="es-ES"/>
        </w:rPr>
        <w:t>, 2020</w:t>
      </w:r>
      <w:r w:rsidR="006C1FAB">
        <w:rPr>
          <w:rFonts w:cstheme="minorHAnsi"/>
          <w:lang w:val="es-ES"/>
        </w:rPr>
        <w:t>.</w:t>
      </w:r>
    </w:p>
  </w:footnote>
  <w:footnote w:id="5">
    <w:p w14:paraId="75407B5C" w14:textId="133022EE" w:rsidR="009D53CE" w:rsidRDefault="00197752" w:rsidP="006C1FAB">
      <w:pPr>
        <w:pStyle w:val="Textonotapie"/>
        <w:ind w:left="-567" w:firstLine="0"/>
      </w:pPr>
      <w:r>
        <w:rPr>
          <w:rStyle w:val="Refdenotaalpie"/>
        </w:rPr>
        <w:footnoteRef/>
      </w:r>
      <w:r>
        <w:t xml:space="preserve"> </w:t>
      </w:r>
      <w:r>
        <w:rPr>
          <w:rFonts w:cstheme="minorHAnsi"/>
        </w:rPr>
        <w:t>Wolfe, Panosian and Diamond, 2007; Jones et al., 2008</w:t>
      </w:r>
      <w:r w:rsidR="006C1FAB">
        <w:rPr>
          <w:rFonts w:cstheme="minorHAnsi"/>
        </w:rPr>
        <w:t>.</w:t>
      </w:r>
    </w:p>
  </w:footnote>
  <w:footnote w:id="6">
    <w:p w14:paraId="1457ACCF" w14:textId="38B8B1A5" w:rsidR="009D53CE" w:rsidRPr="00565AA3" w:rsidRDefault="00197752" w:rsidP="006C1FAB">
      <w:pPr>
        <w:pStyle w:val="Textonotapie"/>
        <w:ind w:left="-567" w:firstLine="0"/>
        <w:rPr>
          <w:lang w:val="pt-PT"/>
        </w:rPr>
      </w:pPr>
      <w:r>
        <w:rPr>
          <w:rStyle w:val="Refdenotaalpie"/>
        </w:rPr>
        <w:footnoteRef/>
      </w:r>
      <w:r w:rsidRPr="00565AA3">
        <w:rPr>
          <w:lang w:val="pt-PT"/>
        </w:rPr>
        <w:t>Carballada and Balsa-Barreiro, 2021; Miramontes and Balsa-Barreiro, 2021</w:t>
      </w:r>
      <w:r w:rsidR="006C1FAB">
        <w:rPr>
          <w:lang w:val="pt-PT"/>
        </w:rPr>
        <w:t>.</w:t>
      </w:r>
    </w:p>
  </w:footnote>
  <w:footnote w:id="7">
    <w:p w14:paraId="007854D8" w14:textId="0A5D5EA5" w:rsidR="009D53CE" w:rsidRPr="00E95963" w:rsidRDefault="00197752" w:rsidP="006C1FAB">
      <w:pPr>
        <w:pStyle w:val="Textonotapie"/>
        <w:ind w:left="-567" w:right="-851" w:firstLine="0"/>
        <w:rPr>
          <w:lang w:val="es-ES"/>
        </w:rPr>
      </w:pPr>
      <w:r>
        <w:rPr>
          <w:rStyle w:val="Refdenotaalpie"/>
        </w:rPr>
        <w:footnoteRef/>
      </w:r>
      <w:r w:rsidRPr="00E95963">
        <w:rPr>
          <w:rFonts w:cstheme="minorHAnsi"/>
          <w:color w:val="4472C4" w:themeColor="accent1"/>
          <w:lang w:val="es-ES"/>
        </w:rPr>
        <w:t xml:space="preserve"> </w:t>
      </w:r>
      <w:proofErr w:type="spellStart"/>
      <w:r w:rsidRPr="00E95963">
        <w:rPr>
          <w:lang w:val="es-ES"/>
        </w:rPr>
        <w:t>Carballada</w:t>
      </w:r>
      <w:proofErr w:type="spellEnd"/>
      <w:r w:rsidRPr="00E95963">
        <w:rPr>
          <w:lang w:val="es-ES"/>
        </w:rPr>
        <w:t xml:space="preserve"> and Balsa-Barreiro, 2021; </w:t>
      </w:r>
      <w:proofErr w:type="spellStart"/>
      <w:r w:rsidRPr="00E95963">
        <w:rPr>
          <w:lang w:val="es-ES"/>
        </w:rPr>
        <w:t>Carballosa</w:t>
      </w:r>
      <w:proofErr w:type="spellEnd"/>
      <w:r w:rsidRPr="00E95963">
        <w:rPr>
          <w:lang w:val="es-ES"/>
        </w:rPr>
        <w:t xml:space="preserve"> et al, 2021; Miramontes and Balsa-Barreiro, 2021</w:t>
      </w:r>
      <w:r w:rsidR="006C1FAB">
        <w:rPr>
          <w:lang w:val="es-ES"/>
        </w:rPr>
        <w:t>.</w:t>
      </w:r>
    </w:p>
  </w:footnote>
  <w:footnote w:id="8">
    <w:p w14:paraId="6368B33E" w14:textId="53B3DB75" w:rsidR="009D53CE" w:rsidRPr="00E95963" w:rsidRDefault="00197752" w:rsidP="006C1FAB">
      <w:pPr>
        <w:pStyle w:val="Textonotapie"/>
        <w:ind w:left="-567" w:firstLine="0"/>
        <w:rPr>
          <w:lang w:val="es-ES"/>
        </w:rPr>
      </w:pPr>
      <w:r w:rsidRPr="00BB062E">
        <w:rPr>
          <w:rStyle w:val="Refdenotaalpie"/>
        </w:rPr>
        <w:footnoteRef/>
      </w:r>
      <w:r w:rsidRPr="00BB062E">
        <w:rPr>
          <w:lang w:val="es-ES"/>
        </w:rPr>
        <w:t xml:space="preserve"> </w:t>
      </w:r>
      <w:r w:rsidRPr="00BB062E">
        <w:rPr>
          <w:rFonts w:cstheme="minorHAnsi"/>
        </w:rPr>
        <w:fldChar w:fldCharType="begin" w:fldLock="1"/>
      </w:r>
      <w:r w:rsidRPr="00BB062E">
        <w:rPr>
          <w:rFonts w:cstheme="minorHAnsi"/>
          <w:lang w:val="es-ES"/>
        </w:rPr>
        <w:instrText>ADDIN CSL_CITATION {"citationItems":[{"id":"ITEM-1","itemData":{"URL":"https://www.ine.es/dyngs/INEbase/es/categoria.htm?c=Estadistica_P&amp;cid=1254734710984","author":[{"dropping-particle":"","family":"Spanish Statistical Office","given":"","non-dropping-particle":"","parse-names":false,"suffix":""}],"id":"ITEM-1","issued":{"date-parts":[["2017"]]},"title":"Demography and population","type":"webpage"},"uris":["http://www.mendeley.com/documents/?uuid=4f11455f-19f3-425e-bee4-f9bd7141006a"]}],"mendeley":{"formattedCitation":"(Spanish Statistical Office, 2017)","plainTextFormattedCitation":"(Spanish Statistical Office, 2017)","previouslyFormattedCitation":"(Spanish Statistical Office, 2017)"},"properties":{"noteIndex":0},"schema":"https://github.com/citation-style-language/schema/raw/master/csl-citation.json"}</w:instrText>
      </w:r>
      <w:r w:rsidRPr="00BB062E">
        <w:rPr>
          <w:rFonts w:cstheme="minorHAnsi"/>
        </w:rPr>
        <w:fldChar w:fldCharType="separate"/>
      </w:r>
      <w:r w:rsidR="00BB062E" w:rsidRPr="00BB062E">
        <w:rPr>
          <w:rFonts w:cstheme="minorHAnsi"/>
          <w:lang w:val="es-ES"/>
        </w:rPr>
        <w:t>INE</w:t>
      </w:r>
      <w:r w:rsidRPr="00BB062E">
        <w:rPr>
          <w:rFonts w:cstheme="minorHAnsi"/>
          <w:lang w:val="es-ES"/>
        </w:rPr>
        <w:t>, 2021</w:t>
      </w:r>
      <w:r w:rsidRPr="00BB062E">
        <w:rPr>
          <w:rFonts w:cstheme="minorHAnsi"/>
        </w:rPr>
        <w:fldChar w:fldCharType="end"/>
      </w:r>
    </w:p>
  </w:footnote>
  <w:footnote w:id="9">
    <w:p w14:paraId="22EE6976" w14:textId="14B78CEF" w:rsidR="009D53CE" w:rsidRPr="001A53EC" w:rsidRDefault="00197752" w:rsidP="006C1FAB">
      <w:pPr>
        <w:pStyle w:val="Textonotapie"/>
        <w:ind w:left="-567" w:firstLine="0"/>
        <w:rPr>
          <w:lang w:val="es-ES"/>
        </w:rPr>
      </w:pPr>
      <w:r w:rsidRPr="001A53EC">
        <w:rPr>
          <w:rStyle w:val="Refdenotaalpie"/>
        </w:rPr>
        <w:footnoteRef/>
      </w:r>
      <w:r w:rsidRPr="001A53EC">
        <w:rPr>
          <w:lang w:val="es-ES"/>
        </w:rPr>
        <w:t xml:space="preserve"> </w:t>
      </w:r>
      <w:r w:rsidRPr="001A53EC">
        <w:rPr>
          <w:rFonts w:cstheme="minorHAnsi"/>
          <w:lang w:val="es-ES"/>
        </w:rPr>
        <w:t>Lois-González</w:t>
      </w:r>
      <w:r w:rsidR="00F94DD2" w:rsidRPr="001A53EC">
        <w:rPr>
          <w:rFonts w:cstheme="minorHAnsi"/>
          <w:lang w:val="es-ES"/>
        </w:rPr>
        <w:t>, 2015</w:t>
      </w:r>
      <w:r w:rsidR="006C1FAB">
        <w:rPr>
          <w:rFonts w:cstheme="minorHAnsi"/>
          <w:lang w:val="es-ES"/>
        </w:rPr>
        <w:t>.</w:t>
      </w:r>
    </w:p>
  </w:footnote>
  <w:footnote w:id="10">
    <w:p w14:paraId="7AE0F0A9" w14:textId="60A657E8" w:rsidR="007A0FF4" w:rsidRPr="00E95963" w:rsidRDefault="007A0FF4" w:rsidP="006C1FAB">
      <w:pPr>
        <w:pStyle w:val="Textonotapie"/>
        <w:ind w:left="-567" w:firstLine="0"/>
        <w:rPr>
          <w:lang w:val="es-ES"/>
        </w:rPr>
      </w:pPr>
      <w:r w:rsidRPr="001A53EC">
        <w:rPr>
          <w:rStyle w:val="Refdenotaalpie"/>
        </w:rPr>
        <w:footnoteRef/>
      </w:r>
      <w:r w:rsidRPr="001A53EC">
        <w:rPr>
          <w:rFonts w:cstheme="minorHAnsi"/>
          <w:lang w:val="es-ES"/>
        </w:rPr>
        <w:t>Pazos Otón, 2003</w:t>
      </w:r>
      <w:r w:rsidR="006C1FAB">
        <w:rPr>
          <w:rFonts w:cstheme="minorHAnsi"/>
          <w:lang w:val="es-ES"/>
        </w:rPr>
        <w:t>.</w:t>
      </w:r>
    </w:p>
  </w:footnote>
  <w:footnote w:id="11">
    <w:p w14:paraId="31E5D76E" w14:textId="10E0D8AA" w:rsidR="009D53CE" w:rsidRPr="00E95963" w:rsidRDefault="00197752" w:rsidP="006C1FAB">
      <w:pPr>
        <w:pStyle w:val="Textonotapie"/>
        <w:ind w:left="-567" w:firstLine="0"/>
        <w:rPr>
          <w:lang w:val="es-ES"/>
        </w:rPr>
      </w:pPr>
      <w:r>
        <w:rPr>
          <w:rStyle w:val="Refdenotaalpie"/>
        </w:rPr>
        <w:footnoteRef/>
      </w:r>
      <w:r w:rsidRPr="00E95963">
        <w:rPr>
          <w:rFonts w:cstheme="minorHAnsi"/>
          <w:lang w:val="es-ES"/>
        </w:rPr>
        <w:t>Cruz et al., 202</w:t>
      </w:r>
      <w:r w:rsidR="006C1FAB">
        <w:rPr>
          <w:rFonts w:cstheme="minorHAnsi"/>
          <w:lang w:val="es-ES"/>
        </w:rPr>
        <w:t>1.</w:t>
      </w:r>
    </w:p>
  </w:footnote>
  <w:footnote w:id="12">
    <w:p w14:paraId="04C92E2A" w14:textId="5FA96F33" w:rsidR="009D53CE" w:rsidRPr="007522B9" w:rsidRDefault="00197752" w:rsidP="006C1FAB">
      <w:pPr>
        <w:pStyle w:val="Textonotapie"/>
        <w:ind w:left="-567" w:firstLine="0"/>
        <w:rPr>
          <w:lang w:val="en-US"/>
        </w:rPr>
      </w:pPr>
      <w:r w:rsidRPr="00E97A6D">
        <w:rPr>
          <w:rStyle w:val="Refdenotaalpie"/>
        </w:rPr>
        <w:footnoteRef/>
      </w:r>
      <w:r w:rsidR="00E97A6D" w:rsidRPr="007522B9">
        <w:rPr>
          <w:lang w:val="en-US"/>
        </w:rPr>
        <w:t>IGN, 2021</w:t>
      </w:r>
      <w:r w:rsidR="006C1FAB">
        <w:rPr>
          <w:lang w:val="en-US"/>
        </w:rPr>
        <w:t>.</w:t>
      </w:r>
    </w:p>
  </w:footnote>
  <w:footnote w:id="13">
    <w:p w14:paraId="7C21169D" w14:textId="60E84801" w:rsidR="00002651" w:rsidRPr="006C1FAB" w:rsidRDefault="00002651" w:rsidP="006C1FAB">
      <w:pPr>
        <w:pStyle w:val="Default"/>
        <w:ind w:left="-567"/>
        <w:jc w:val="both"/>
        <w:rPr>
          <w:rFonts w:ascii="Times New Roman" w:hAnsi="Times New Roman" w:cs="Times New Roman"/>
          <w:szCs w:val="24"/>
          <w:lang w:val="en-US"/>
        </w:rPr>
      </w:pPr>
      <w:r w:rsidRPr="006C1FAB">
        <w:rPr>
          <w:rStyle w:val="Refdenotaalpie"/>
          <w:rFonts w:ascii="Times New Roman" w:hAnsi="Times New Roman" w:cs="Times New Roman"/>
        </w:rPr>
        <w:footnoteRef/>
      </w:r>
      <w:r w:rsidRPr="006C1FAB">
        <w:rPr>
          <w:rFonts w:ascii="Times New Roman" w:hAnsi="Times New Roman" w:cs="Times New Roman"/>
        </w:rPr>
        <w:t xml:space="preserve"> </w:t>
      </w:r>
      <w:r w:rsidRPr="006C1FAB">
        <w:rPr>
          <w:rFonts w:ascii="Times New Roman" w:hAnsi="Times New Roman" w:cs="Times New Roman"/>
          <w:color w:val="auto"/>
          <w:sz w:val="20"/>
          <w:lang w:val="en-US"/>
        </w:rPr>
        <w:t xml:space="preserve">Davis, 2020; </w:t>
      </w:r>
      <w:r w:rsidR="00DC5C7A" w:rsidRPr="006C1FAB">
        <w:rPr>
          <w:rFonts w:ascii="Times New Roman" w:hAnsi="Times New Roman" w:cs="Times New Roman"/>
          <w:color w:val="auto"/>
          <w:sz w:val="20"/>
          <w:lang w:val="en-US"/>
        </w:rPr>
        <w:t xml:space="preserve">Rao, Zhang and </w:t>
      </w:r>
      <w:proofErr w:type="spellStart"/>
      <w:r w:rsidR="00DC5C7A" w:rsidRPr="006C1FAB">
        <w:rPr>
          <w:rFonts w:ascii="Times New Roman" w:hAnsi="Times New Roman" w:cs="Times New Roman"/>
          <w:color w:val="auto"/>
          <w:sz w:val="20"/>
          <w:lang w:val="en-US"/>
        </w:rPr>
        <w:t>Mantero</w:t>
      </w:r>
      <w:proofErr w:type="spellEnd"/>
      <w:r w:rsidR="00DC5C7A" w:rsidRPr="006C1FAB">
        <w:rPr>
          <w:rFonts w:ascii="Times New Roman" w:hAnsi="Times New Roman" w:cs="Times New Roman"/>
          <w:color w:val="auto"/>
          <w:sz w:val="20"/>
          <w:lang w:val="en-US"/>
        </w:rPr>
        <w:t>, 2020</w:t>
      </w:r>
      <w:r w:rsidR="006C1FAB" w:rsidRPr="006C1FAB">
        <w:rPr>
          <w:rFonts w:ascii="Times New Roman" w:hAnsi="Times New Roman" w:cs="Times New Roman"/>
          <w:color w:val="auto"/>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4A67" w14:textId="77777777" w:rsidR="00855D19" w:rsidRDefault="00855D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460D" w14:textId="77777777" w:rsidR="00855D19" w:rsidRDefault="00855D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7915" w14:textId="77777777" w:rsidR="00855D19" w:rsidRDefault="00855D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C309C"/>
    <w:multiLevelType w:val="multilevel"/>
    <w:tmpl w:val="0996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085852"/>
    <w:multiLevelType w:val="hybridMultilevel"/>
    <w:tmpl w:val="F0769A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AE"/>
    <w:rsid w:val="00002651"/>
    <w:rsid w:val="00010CA6"/>
    <w:rsid w:val="000141BC"/>
    <w:rsid w:val="000156F5"/>
    <w:rsid w:val="000565C7"/>
    <w:rsid w:val="000640F3"/>
    <w:rsid w:val="00067B1D"/>
    <w:rsid w:val="000723AC"/>
    <w:rsid w:val="000A0A81"/>
    <w:rsid w:val="000A33D9"/>
    <w:rsid w:val="000B2484"/>
    <w:rsid w:val="000B4953"/>
    <w:rsid w:val="000C7AA0"/>
    <w:rsid w:val="00103196"/>
    <w:rsid w:val="0010492F"/>
    <w:rsid w:val="00104EEE"/>
    <w:rsid w:val="00117E1C"/>
    <w:rsid w:val="00120EF9"/>
    <w:rsid w:val="0016540F"/>
    <w:rsid w:val="0016785C"/>
    <w:rsid w:val="00172130"/>
    <w:rsid w:val="0017573E"/>
    <w:rsid w:val="00182BDC"/>
    <w:rsid w:val="00190391"/>
    <w:rsid w:val="001946D5"/>
    <w:rsid w:val="001962DE"/>
    <w:rsid w:val="00197752"/>
    <w:rsid w:val="001A53EC"/>
    <w:rsid w:val="001C6DB7"/>
    <w:rsid w:val="001D2906"/>
    <w:rsid w:val="001E4771"/>
    <w:rsid w:val="001E5385"/>
    <w:rsid w:val="001E5EEB"/>
    <w:rsid w:val="001F7E96"/>
    <w:rsid w:val="00202E3A"/>
    <w:rsid w:val="00206A46"/>
    <w:rsid w:val="00217ABE"/>
    <w:rsid w:val="00221D81"/>
    <w:rsid w:val="002271BA"/>
    <w:rsid w:val="00231BE1"/>
    <w:rsid w:val="002547DF"/>
    <w:rsid w:val="002566E1"/>
    <w:rsid w:val="002655FD"/>
    <w:rsid w:val="00267A3E"/>
    <w:rsid w:val="002822FB"/>
    <w:rsid w:val="002828C9"/>
    <w:rsid w:val="00295224"/>
    <w:rsid w:val="002D3629"/>
    <w:rsid w:val="002D487E"/>
    <w:rsid w:val="002D7758"/>
    <w:rsid w:val="002E33B1"/>
    <w:rsid w:val="002E6550"/>
    <w:rsid w:val="00302AB2"/>
    <w:rsid w:val="00315F51"/>
    <w:rsid w:val="003222CF"/>
    <w:rsid w:val="003424C7"/>
    <w:rsid w:val="00356C50"/>
    <w:rsid w:val="003849E0"/>
    <w:rsid w:val="003874A1"/>
    <w:rsid w:val="00391574"/>
    <w:rsid w:val="00391CFF"/>
    <w:rsid w:val="003A5CED"/>
    <w:rsid w:val="003B5B2A"/>
    <w:rsid w:val="003D3A6F"/>
    <w:rsid w:val="00413896"/>
    <w:rsid w:val="0041449C"/>
    <w:rsid w:val="004432C9"/>
    <w:rsid w:val="00444395"/>
    <w:rsid w:val="00451A43"/>
    <w:rsid w:val="00454515"/>
    <w:rsid w:val="00465BC1"/>
    <w:rsid w:val="00465D66"/>
    <w:rsid w:val="00472260"/>
    <w:rsid w:val="00483EA6"/>
    <w:rsid w:val="00492EF6"/>
    <w:rsid w:val="0049388E"/>
    <w:rsid w:val="004A6400"/>
    <w:rsid w:val="004D20D5"/>
    <w:rsid w:val="004D5745"/>
    <w:rsid w:val="004D5A7E"/>
    <w:rsid w:val="004D5B82"/>
    <w:rsid w:val="004E45E4"/>
    <w:rsid w:val="004F16C2"/>
    <w:rsid w:val="004F27E6"/>
    <w:rsid w:val="005009F5"/>
    <w:rsid w:val="00501CD0"/>
    <w:rsid w:val="00507027"/>
    <w:rsid w:val="00527B3F"/>
    <w:rsid w:val="00535263"/>
    <w:rsid w:val="0054017F"/>
    <w:rsid w:val="005539D0"/>
    <w:rsid w:val="00565AA3"/>
    <w:rsid w:val="00570EC3"/>
    <w:rsid w:val="00574B78"/>
    <w:rsid w:val="00593C32"/>
    <w:rsid w:val="005A0A25"/>
    <w:rsid w:val="005A30DD"/>
    <w:rsid w:val="005A77CA"/>
    <w:rsid w:val="005B13CD"/>
    <w:rsid w:val="005B48D6"/>
    <w:rsid w:val="005C23A6"/>
    <w:rsid w:val="005C442C"/>
    <w:rsid w:val="005D6DD6"/>
    <w:rsid w:val="005E2E29"/>
    <w:rsid w:val="005F1CBA"/>
    <w:rsid w:val="005F75D3"/>
    <w:rsid w:val="00641188"/>
    <w:rsid w:val="00655D97"/>
    <w:rsid w:val="00662D1A"/>
    <w:rsid w:val="00676E2A"/>
    <w:rsid w:val="00676E3C"/>
    <w:rsid w:val="006860E6"/>
    <w:rsid w:val="006B0CD6"/>
    <w:rsid w:val="006B1126"/>
    <w:rsid w:val="006B1B2A"/>
    <w:rsid w:val="006B21A8"/>
    <w:rsid w:val="006C1FAB"/>
    <w:rsid w:val="006E0D39"/>
    <w:rsid w:val="006E184D"/>
    <w:rsid w:val="006F510B"/>
    <w:rsid w:val="00716481"/>
    <w:rsid w:val="00723324"/>
    <w:rsid w:val="007246F6"/>
    <w:rsid w:val="00740846"/>
    <w:rsid w:val="007427FC"/>
    <w:rsid w:val="007452F7"/>
    <w:rsid w:val="007522B9"/>
    <w:rsid w:val="007637F9"/>
    <w:rsid w:val="0076719D"/>
    <w:rsid w:val="00771442"/>
    <w:rsid w:val="00777B90"/>
    <w:rsid w:val="007A0FF4"/>
    <w:rsid w:val="007C560F"/>
    <w:rsid w:val="007C6D29"/>
    <w:rsid w:val="007D38BF"/>
    <w:rsid w:val="007E6AF9"/>
    <w:rsid w:val="007E6E8F"/>
    <w:rsid w:val="00804AB3"/>
    <w:rsid w:val="00822429"/>
    <w:rsid w:val="00850E8A"/>
    <w:rsid w:val="00855D19"/>
    <w:rsid w:val="0086014C"/>
    <w:rsid w:val="00877B33"/>
    <w:rsid w:val="00884541"/>
    <w:rsid w:val="008A102A"/>
    <w:rsid w:val="008B6282"/>
    <w:rsid w:val="008B6B82"/>
    <w:rsid w:val="008C13CA"/>
    <w:rsid w:val="008E0061"/>
    <w:rsid w:val="008E2893"/>
    <w:rsid w:val="008F78F5"/>
    <w:rsid w:val="009002C3"/>
    <w:rsid w:val="009060B6"/>
    <w:rsid w:val="0091073E"/>
    <w:rsid w:val="00911C22"/>
    <w:rsid w:val="00921DAD"/>
    <w:rsid w:val="00946629"/>
    <w:rsid w:val="00954BCB"/>
    <w:rsid w:val="0097529C"/>
    <w:rsid w:val="00975A92"/>
    <w:rsid w:val="00982855"/>
    <w:rsid w:val="009A03EB"/>
    <w:rsid w:val="009A116A"/>
    <w:rsid w:val="009A20D3"/>
    <w:rsid w:val="009B6CA7"/>
    <w:rsid w:val="009D53CE"/>
    <w:rsid w:val="009F0C15"/>
    <w:rsid w:val="00A010B6"/>
    <w:rsid w:val="00A01716"/>
    <w:rsid w:val="00A133AE"/>
    <w:rsid w:val="00A511F8"/>
    <w:rsid w:val="00A5796B"/>
    <w:rsid w:val="00A57F1F"/>
    <w:rsid w:val="00A92030"/>
    <w:rsid w:val="00AA30F1"/>
    <w:rsid w:val="00AB4929"/>
    <w:rsid w:val="00AB6ADD"/>
    <w:rsid w:val="00AD2F95"/>
    <w:rsid w:val="00AE3548"/>
    <w:rsid w:val="00AE7DC6"/>
    <w:rsid w:val="00AF0932"/>
    <w:rsid w:val="00AF1D46"/>
    <w:rsid w:val="00AF4E4C"/>
    <w:rsid w:val="00B106C7"/>
    <w:rsid w:val="00B13033"/>
    <w:rsid w:val="00B24CFE"/>
    <w:rsid w:val="00B327AD"/>
    <w:rsid w:val="00B40A14"/>
    <w:rsid w:val="00B441A5"/>
    <w:rsid w:val="00B657AE"/>
    <w:rsid w:val="00B7412C"/>
    <w:rsid w:val="00B752E3"/>
    <w:rsid w:val="00B77B53"/>
    <w:rsid w:val="00B816C8"/>
    <w:rsid w:val="00BA7D40"/>
    <w:rsid w:val="00BB062E"/>
    <w:rsid w:val="00BC754D"/>
    <w:rsid w:val="00BE0B2C"/>
    <w:rsid w:val="00BE4A4A"/>
    <w:rsid w:val="00BE5FA8"/>
    <w:rsid w:val="00BE76C2"/>
    <w:rsid w:val="00C17E5D"/>
    <w:rsid w:val="00C20B87"/>
    <w:rsid w:val="00C30580"/>
    <w:rsid w:val="00C614E9"/>
    <w:rsid w:val="00C65A29"/>
    <w:rsid w:val="00C75E7A"/>
    <w:rsid w:val="00C955DD"/>
    <w:rsid w:val="00CA4453"/>
    <w:rsid w:val="00CB4061"/>
    <w:rsid w:val="00CC4EDC"/>
    <w:rsid w:val="00CD72D4"/>
    <w:rsid w:val="00CE1692"/>
    <w:rsid w:val="00D0561E"/>
    <w:rsid w:val="00D120BD"/>
    <w:rsid w:val="00D2791C"/>
    <w:rsid w:val="00D57F8F"/>
    <w:rsid w:val="00D67774"/>
    <w:rsid w:val="00D7343B"/>
    <w:rsid w:val="00D8533D"/>
    <w:rsid w:val="00D86385"/>
    <w:rsid w:val="00D93192"/>
    <w:rsid w:val="00D966C7"/>
    <w:rsid w:val="00DA1333"/>
    <w:rsid w:val="00DC0AE5"/>
    <w:rsid w:val="00DC5C7A"/>
    <w:rsid w:val="00DC7403"/>
    <w:rsid w:val="00DE12FC"/>
    <w:rsid w:val="00DE2D4C"/>
    <w:rsid w:val="00DE459D"/>
    <w:rsid w:val="00DF0D16"/>
    <w:rsid w:val="00DF41C8"/>
    <w:rsid w:val="00E27491"/>
    <w:rsid w:val="00E4695C"/>
    <w:rsid w:val="00E61333"/>
    <w:rsid w:val="00E6176F"/>
    <w:rsid w:val="00E6278D"/>
    <w:rsid w:val="00E65A15"/>
    <w:rsid w:val="00E86242"/>
    <w:rsid w:val="00E90396"/>
    <w:rsid w:val="00E95963"/>
    <w:rsid w:val="00E97A6D"/>
    <w:rsid w:val="00EB5762"/>
    <w:rsid w:val="00EE628E"/>
    <w:rsid w:val="00F07EFB"/>
    <w:rsid w:val="00F21CCB"/>
    <w:rsid w:val="00F22A90"/>
    <w:rsid w:val="00F430B7"/>
    <w:rsid w:val="00F648D3"/>
    <w:rsid w:val="00F65CB3"/>
    <w:rsid w:val="00F67592"/>
    <w:rsid w:val="00F67A74"/>
    <w:rsid w:val="00F753A9"/>
    <w:rsid w:val="00F76F9F"/>
    <w:rsid w:val="00F909E8"/>
    <w:rsid w:val="00F94DD2"/>
    <w:rsid w:val="00FA190D"/>
    <w:rsid w:val="00FA2B6D"/>
    <w:rsid w:val="00FC69D5"/>
    <w:rsid w:val="00FE5F74"/>
    <w:rsid w:val="00FE7003"/>
    <w:rsid w:val="00FF3CDE"/>
    <w:rsid w:val="00FF4553"/>
    <w:rsid w:val="00FF5B6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3407B"/>
  <w15:docId w15:val="{5AEE6681-F0EA-4C8E-B2FC-688DE61F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GB" w:bidi="ar-SA"/>
      </w:rPr>
    </w:rPrDefault>
    <w:pPrDefault>
      <w:pPr>
        <w:spacing w:after="160" w:line="259" w:lineRule="auto"/>
        <w:ind w:firstLine="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B7"/>
    <w:pPr>
      <w:contextualSpacing/>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1126"/>
    <w:pPr>
      <w:ind w:left="720"/>
    </w:pPr>
  </w:style>
  <w:style w:type="paragraph" w:customStyle="1" w:styleId="Default">
    <w:name w:val="Default"/>
    <w:rsid w:val="00850E8A"/>
    <w:pPr>
      <w:autoSpaceDE w:val="0"/>
      <w:autoSpaceDN w:val="0"/>
      <w:adjustRightInd w:val="0"/>
      <w:spacing w:after="0" w:line="240" w:lineRule="auto"/>
      <w:ind w:firstLine="0"/>
    </w:pPr>
    <w:rPr>
      <w:rFonts w:ascii="Calibri" w:hAnsi="Calibri" w:cs="Calibri"/>
      <w:color w:val="000000"/>
      <w:sz w:val="24"/>
    </w:rPr>
  </w:style>
  <w:style w:type="character" w:styleId="nfasis">
    <w:name w:val="Emphasis"/>
    <w:aliases w:val="AGE Fuente tabla"/>
    <w:uiPriority w:val="20"/>
    <w:qFormat/>
    <w:rsid w:val="000156F5"/>
  </w:style>
  <w:style w:type="paragraph" w:styleId="Subttulo">
    <w:name w:val="Subtitle"/>
    <w:aliases w:val="BAGE Titles Fig-Tab"/>
    <w:basedOn w:val="Normal"/>
    <w:next w:val="Normal"/>
    <w:link w:val="SubttuloCar"/>
    <w:uiPriority w:val="11"/>
    <w:qFormat/>
    <w:rsid w:val="000156F5"/>
    <w:pPr>
      <w:spacing w:before="240" w:after="120" w:line="360" w:lineRule="auto"/>
      <w:ind w:firstLine="0"/>
      <w:contextualSpacing w:val="0"/>
      <w:jc w:val="center"/>
    </w:pPr>
    <w:rPr>
      <w:rFonts w:ascii="Renner* Light" w:eastAsia="Calibri" w:hAnsi="Renner* Light" w:cs="Times New Roman"/>
      <w:b/>
      <w:color w:val="000000"/>
      <w:shd w:val="clear" w:color="auto" w:fill="FFFFFF"/>
    </w:rPr>
  </w:style>
  <w:style w:type="character" w:customStyle="1" w:styleId="SubttuloCar">
    <w:name w:val="Subtítulo Car"/>
    <w:aliases w:val="BAGE Titles Fig-Tab Car"/>
    <w:basedOn w:val="Fuentedeprrafopredeter"/>
    <w:link w:val="Subttulo"/>
    <w:uiPriority w:val="11"/>
    <w:rsid w:val="000156F5"/>
    <w:rPr>
      <w:rFonts w:ascii="Renner* Light" w:eastAsia="Calibri" w:hAnsi="Renner* Light" w:cs="Times New Roman"/>
      <w:b/>
      <w:color w:val="000000"/>
      <w:sz w:val="24"/>
    </w:rPr>
  </w:style>
  <w:style w:type="paragraph" w:customStyle="1" w:styleId="BAGEKeyTable">
    <w:name w:val="BAGE Key Table"/>
    <w:basedOn w:val="Normal"/>
    <w:link w:val="BAGEKeyTableChar"/>
    <w:qFormat/>
    <w:rsid w:val="000156F5"/>
    <w:pPr>
      <w:spacing w:before="120" w:after="0" w:line="360" w:lineRule="auto"/>
      <w:ind w:firstLine="0"/>
      <w:contextualSpacing w:val="0"/>
    </w:pPr>
    <w:rPr>
      <w:rFonts w:ascii="Renner* Light" w:eastAsia="Calibri" w:hAnsi="Renner* Light" w:cs="Times New Roman"/>
      <w:color w:val="000000"/>
      <w:sz w:val="20"/>
      <w:shd w:val="clear" w:color="auto" w:fill="FFFFFF"/>
    </w:rPr>
  </w:style>
  <w:style w:type="character" w:customStyle="1" w:styleId="BAGEKeyTableChar">
    <w:name w:val="BAGE Key Table Char"/>
    <w:basedOn w:val="Fuentedeprrafopredeter"/>
    <w:link w:val="BAGEKeyTable"/>
    <w:rsid w:val="000156F5"/>
    <w:rPr>
      <w:rFonts w:ascii="Renner* Light" w:eastAsia="Calibri" w:hAnsi="Renner* Light" w:cs="Times New Roman"/>
      <w:color w:val="000000"/>
      <w:sz w:val="20"/>
    </w:rPr>
  </w:style>
  <w:style w:type="table" w:styleId="Tablaconcuadrcula">
    <w:name w:val="Table Grid"/>
    <w:basedOn w:val="Tablanormal"/>
    <w:uiPriority w:val="39"/>
    <w:rsid w:val="0031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860E6"/>
    <w:pPr>
      <w:spacing w:after="200" w:line="240" w:lineRule="auto"/>
      <w:ind w:firstLine="0"/>
      <w:contextualSpacing w:val="0"/>
      <w:jc w:val="left"/>
    </w:pPr>
    <w:rPr>
      <w:rFonts w:asciiTheme="minorHAnsi" w:hAnsiTheme="minorHAnsi"/>
      <w:i/>
      <w:color w:val="44546A" w:themeColor="text2"/>
      <w:sz w:val="18"/>
    </w:rPr>
  </w:style>
  <w:style w:type="paragraph" w:styleId="HTMLconformatoprevio">
    <w:name w:val="HTML Preformatted"/>
    <w:basedOn w:val="Normal"/>
    <w:link w:val="HTMLconformatoprevioCar"/>
    <w:uiPriority w:val="99"/>
    <w:semiHidden/>
    <w:unhideWhenUsed/>
    <w:rsid w:val="002D4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contextualSpacing w:val="0"/>
      <w:jc w:val="left"/>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semiHidden/>
    <w:rsid w:val="002D487E"/>
    <w:rPr>
      <w:rFonts w:ascii="Courier New" w:eastAsia="Times New Roman" w:hAnsi="Courier New" w:cs="Courier New"/>
      <w:sz w:val="20"/>
    </w:rPr>
  </w:style>
  <w:style w:type="character" w:customStyle="1" w:styleId="y2iqfc">
    <w:name w:val="y2iqfc"/>
    <w:basedOn w:val="Fuentedeprrafopredeter"/>
    <w:rsid w:val="002D487E"/>
  </w:style>
  <w:style w:type="paragraph" w:styleId="Textodeglobo">
    <w:name w:val="Balloon Text"/>
    <w:basedOn w:val="Normal"/>
    <w:link w:val="TextodegloboCar"/>
    <w:uiPriority w:val="99"/>
    <w:semiHidden/>
    <w:unhideWhenUsed/>
    <w:rsid w:val="006B21A8"/>
    <w:pPr>
      <w:spacing w:after="0" w:line="240" w:lineRule="auto"/>
    </w:pPr>
    <w:rPr>
      <w:rFonts w:ascii="Tahoma" w:hAnsi="Tahoma" w:cs="Tahoma"/>
      <w:sz w:val="16"/>
    </w:rPr>
  </w:style>
  <w:style w:type="character" w:customStyle="1" w:styleId="TextodegloboCar">
    <w:name w:val="Texto de globo Car"/>
    <w:basedOn w:val="Fuentedeprrafopredeter"/>
    <w:link w:val="Textodeglobo"/>
    <w:uiPriority w:val="99"/>
    <w:semiHidden/>
    <w:rsid w:val="006B21A8"/>
    <w:rPr>
      <w:rFonts w:ascii="Tahoma" w:hAnsi="Tahoma" w:cs="Tahoma"/>
      <w:sz w:val="16"/>
    </w:rPr>
  </w:style>
  <w:style w:type="paragraph" w:styleId="Textonotapie">
    <w:name w:val="footnote text"/>
    <w:basedOn w:val="Normal"/>
    <w:link w:val="TextonotapieCar"/>
    <w:uiPriority w:val="99"/>
    <w:semiHidden/>
    <w:unhideWhenUsed/>
    <w:rsid w:val="00A5796B"/>
    <w:pPr>
      <w:spacing w:after="0" w:line="240" w:lineRule="auto"/>
    </w:pPr>
    <w:rPr>
      <w:sz w:val="20"/>
    </w:rPr>
  </w:style>
  <w:style w:type="character" w:customStyle="1" w:styleId="TextonotapieCar">
    <w:name w:val="Texto nota pie Car"/>
    <w:basedOn w:val="Fuentedeprrafopredeter"/>
    <w:link w:val="Textonotapie"/>
    <w:uiPriority w:val="99"/>
    <w:semiHidden/>
    <w:rsid w:val="00A5796B"/>
    <w:rPr>
      <w:rFonts w:ascii="Times New Roman" w:hAnsi="Times New Roman"/>
      <w:sz w:val="20"/>
    </w:rPr>
  </w:style>
  <w:style w:type="character" w:styleId="Refdenotaalpie">
    <w:name w:val="footnote reference"/>
    <w:basedOn w:val="Fuentedeprrafopredeter"/>
    <w:uiPriority w:val="99"/>
    <w:semiHidden/>
    <w:unhideWhenUsed/>
    <w:rsid w:val="00A5796B"/>
    <w:rPr>
      <w:vertAlign w:val="superscript"/>
    </w:rPr>
  </w:style>
  <w:style w:type="character" w:customStyle="1" w:styleId="uppercase">
    <w:name w:val="uppercase"/>
    <w:basedOn w:val="Fuentedeprrafopredeter"/>
    <w:rsid w:val="009B6CA7"/>
  </w:style>
  <w:style w:type="character" w:styleId="Hipervnculo">
    <w:name w:val="Hyperlink"/>
    <w:basedOn w:val="Fuentedeprrafopredeter"/>
    <w:uiPriority w:val="99"/>
    <w:unhideWhenUsed/>
    <w:rsid w:val="009B6CA7"/>
    <w:rPr>
      <w:color w:val="0000FF"/>
      <w:u w:val="single"/>
    </w:rPr>
  </w:style>
  <w:style w:type="paragraph" w:customStyle="1" w:styleId="P68B1DB1-Normal1">
    <w:name w:val="P68B1DB1-Normal1"/>
    <w:basedOn w:val="Normal"/>
    <w:rPr>
      <w:b/>
    </w:rPr>
  </w:style>
  <w:style w:type="paragraph" w:customStyle="1" w:styleId="P68B1DB1-Normal2">
    <w:name w:val="P68B1DB1-Normal2"/>
    <w:basedOn w:val="Normal"/>
    <w:rPr>
      <w:sz w:val="20"/>
    </w:rPr>
  </w:style>
  <w:style w:type="paragraph" w:customStyle="1" w:styleId="P68B1DB1-Normal3">
    <w:name w:val="P68B1DB1-Normal3"/>
    <w:basedOn w:val="Normal"/>
    <w:rPr>
      <w:i/>
    </w:rPr>
  </w:style>
  <w:style w:type="paragraph" w:customStyle="1" w:styleId="P68B1DB1-Normal4">
    <w:name w:val="P68B1DB1-Normal4"/>
    <w:basedOn w:val="Normal"/>
    <w:rPr>
      <w:b/>
      <w:i/>
    </w:rPr>
  </w:style>
  <w:style w:type="paragraph" w:customStyle="1" w:styleId="P68B1DB1-Normal5">
    <w:name w:val="P68B1DB1-Normal5"/>
    <w:basedOn w:val="Normal"/>
    <w:rPr>
      <w:rFonts w:cstheme="minorHAnsi"/>
    </w:rPr>
  </w:style>
  <w:style w:type="paragraph" w:customStyle="1" w:styleId="P68B1DB1-Normal6">
    <w:name w:val="P68B1DB1-Normal6"/>
    <w:basedOn w:val="Normal"/>
    <w:rPr>
      <w:b/>
      <w:sz w:val="20"/>
    </w:rPr>
  </w:style>
  <w:style w:type="paragraph" w:styleId="Encabezado">
    <w:name w:val="header"/>
    <w:basedOn w:val="Normal"/>
    <w:link w:val="EncabezadoCar"/>
    <w:uiPriority w:val="99"/>
    <w:unhideWhenUsed/>
    <w:rsid w:val="00F909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09E8"/>
    <w:rPr>
      <w:rFonts w:ascii="Times New Roman" w:hAnsi="Times New Roman"/>
      <w:sz w:val="24"/>
    </w:rPr>
  </w:style>
  <w:style w:type="paragraph" w:styleId="Piedepgina">
    <w:name w:val="footer"/>
    <w:basedOn w:val="Normal"/>
    <w:link w:val="PiedepginaCar"/>
    <w:uiPriority w:val="99"/>
    <w:unhideWhenUsed/>
    <w:rsid w:val="00F909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09E8"/>
    <w:rPr>
      <w:rFonts w:ascii="Times New Roman" w:hAnsi="Times New Roman"/>
      <w:sz w:val="24"/>
    </w:rPr>
  </w:style>
  <w:style w:type="character" w:styleId="Mencinsinresolver">
    <w:name w:val="Unresolved Mention"/>
    <w:basedOn w:val="Fuentedeprrafopredeter"/>
    <w:uiPriority w:val="99"/>
    <w:semiHidden/>
    <w:unhideWhenUsed/>
    <w:rsid w:val="00F909E8"/>
    <w:rPr>
      <w:color w:val="605E5C"/>
      <w:shd w:val="clear" w:color="auto" w:fill="E1DFDD"/>
    </w:rPr>
  </w:style>
  <w:style w:type="paragraph" w:customStyle="1" w:styleId="c-reading-companionreference-citation">
    <w:name w:val="c-reading-companion__reference-citation"/>
    <w:basedOn w:val="Normal"/>
    <w:rsid w:val="00BB062E"/>
    <w:pPr>
      <w:spacing w:before="100" w:beforeAutospacing="1" w:after="100" w:afterAutospacing="1" w:line="240" w:lineRule="auto"/>
      <w:ind w:firstLine="0"/>
      <w:contextualSpacing w:val="0"/>
      <w:jc w:val="left"/>
    </w:pPr>
    <w:rPr>
      <w:rFonts w:eastAsia="Times New Roman" w:cs="Times New Roman"/>
      <w:szCs w:val="24"/>
      <w:lang w:val="es-ES" w:eastAsia="es-ES"/>
    </w:rPr>
  </w:style>
  <w:style w:type="character" w:styleId="Hipervnculovisitado">
    <w:name w:val="FollowedHyperlink"/>
    <w:basedOn w:val="Fuentedeprrafopredeter"/>
    <w:uiPriority w:val="99"/>
    <w:semiHidden/>
    <w:unhideWhenUsed/>
    <w:rsid w:val="000A33D9"/>
    <w:rPr>
      <w:color w:val="954F72" w:themeColor="followedHyperlink"/>
      <w:u w:val="single"/>
    </w:rPr>
  </w:style>
  <w:style w:type="character" w:customStyle="1" w:styleId="text">
    <w:name w:val="text"/>
    <w:basedOn w:val="Fuentedeprrafopredeter"/>
    <w:rsid w:val="00535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6628">
      <w:bodyDiv w:val="1"/>
      <w:marLeft w:val="0"/>
      <w:marRight w:val="0"/>
      <w:marTop w:val="0"/>
      <w:marBottom w:val="0"/>
      <w:divBdr>
        <w:top w:val="none" w:sz="0" w:space="0" w:color="auto"/>
        <w:left w:val="none" w:sz="0" w:space="0" w:color="auto"/>
        <w:bottom w:val="none" w:sz="0" w:space="0" w:color="auto"/>
        <w:right w:val="none" w:sz="0" w:space="0" w:color="auto"/>
      </w:divBdr>
      <w:divsChild>
        <w:div w:id="792022932">
          <w:marLeft w:val="0"/>
          <w:marRight w:val="0"/>
          <w:marTop w:val="300"/>
          <w:marBottom w:val="300"/>
          <w:divBdr>
            <w:top w:val="none" w:sz="0" w:space="0" w:color="auto"/>
            <w:left w:val="none" w:sz="0" w:space="0" w:color="auto"/>
            <w:bottom w:val="none" w:sz="0" w:space="0" w:color="auto"/>
            <w:right w:val="none" w:sz="0" w:space="0" w:color="auto"/>
          </w:divBdr>
        </w:div>
      </w:divsChild>
    </w:div>
    <w:div w:id="661080005">
      <w:bodyDiv w:val="1"/>
      <w:marLeft w:val="0"/>
      <w:marRight w:val="0"/>
      <w:marTop w:val="0"/>
      <w:marBottom w:val="0"/>
      <w:divBdr>
        <w:top w:val="none" w:sz="0" w:space="0" w:color="auto"/>
        <w:left w:val="none" w:sz="0" w:space="0" w:color="auto"/>
        <w:bottom w:val="none" w:sz="0" w:space="0" w:color="auto"/>
        <w:right w:val="none" w:sz="0" w:space="0" w:color="auto"/>
      </w:divBdr>
    </w:div>
    <w:div w:id="1017657969">
      <w:bodyDiv w:val="1"/>
      <w:marLeft w:val="0"/>
      <w:marRight w:val="0"/>
      <w:marTop w:val="0"/>
      <w:marBottom w:val="0"/>
      <w:divBdr>
        <w:top w:val="none" w:sz="0" w:space="0" w:color="auto"/>
        <w:left w:val="none" w:sz="0" w:space="0" w:color="auto"/>
        <w:bottom w:val="none" w:sz="0" w:space="0" w:color="auto"/>
        <w:right w:val="none" w:sz="0" w:space="0" w:color="auto"/>
      </w:divBdr>
    </w:div>
    <w:div w:id="1178039214">
      <w:bodyDiv w:val="1"/>
      <w:marLeft w:val="0"/>
      <w:marRight w:val="0"/>
      <w:marTop w:val="0"/>
      <w:marBottom w:val="0"/>
      <w:divBdr>
        <w:top w:val="none" w:sz="0" w:space="0" w:color="auto"/>
        <w:left w:val="none" w:sz="0" w:space="0" w:color="auto"/>
        <w:bottom w:val="none" w:sz="0" w:space="0" w:color="auto"/>
        <w:right w:val="none" w:sz="0" w:space="0" w:color="auto"/>
      </w:divBdr>
    </w:div>
    <w:div w:id="206879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gi10090602" TargetMode="External"/><Relationship Id="rId13" Type="http://schemas.openxmlformats.org/officeDocument/2006/relationships/hyperlink" Target="https://doi.org/10.1016/j.scitotenv.2020.140489" TargetMode="External"/><Relationship Id="rId18" Type="http://schemas.openxmlformats.org/officeDocument/2006/relationships/hyperlink" Target="https://doi.org/10.3390/ijerph180415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iencedirect.com/science/journal/00489697/741/supp/C" TargetMode="External"/><Relationship Id="rId17" Type="http://schemas.openxmlformats.org/officeDocument/2006/relationships/hyperlink" Target="https://doi.org/10.21138/bage.315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ne.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journal/00489697"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gn.es/web/ign/portal/libros-digitales/monografia-covid" TargetMode="External"/><Relationship Id="rId23" Type="http://schemas.openxmlformats.org/officeDocument/2006/relationships/footer" Target="footer2.xml"/><Relationship Id="rId10" Type="http://schemas.openxmlformats.org/officeDocument/2006/relationships/hyperlink" Target="https://www.sciencedirect.com/science/article/pii/S0048969720340110?via%3Dihub" TargetMode="External"/><Relationship Id="rId19" Type="http://schemas.openxmlformats.org/officeDocument/2006/relationships/hyperlink" Target="https://doi.org/10.12688/f1000research.23903.1" TargetMode="External"/><Relationship Id="rId4" Type="http://schemas.openxmlformats.org/officeDocument/2006/relationships/settings" Target="settings.xml"/><Relationship Id="rId9" Type="http://schemas.openxmlformats.org/officeDocument/2006/relationships/hyperlink" Target="https://doi.org/10.1038/s41598-021-00342-2" TargetMode="External"/><Relationship Id="rId14" Type="http://schemas.openxmlformats.org/officeDocument/2006/relationships/hyperlink" Target="https://ruralopioids.soc.iastate.edu/wp-content/uploads/sites/210/2020/04/STR1059_covid19.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htt</b:Tag>
    <b:SourceType>InternetSite</b:SourceType>
    <b:Guid>{377FEA8E-CB06-4BD3-A6FB-6D5DA8258AA0}</b:Guid>
    <b:Title>https://www.sergas.es/</b:Title>
    <b:RefOrder>3</b:RefOrder>
  </b:Source>
</b:Sources>
</file>

<file path=customXml/itemProps1.xml><?xml version="1.0" encoding="utf-8"?>
<ds:datastoreItem xmlns:ds="http://schemas.openxmlformats.org/officeDocument/2006/customXml" ds:itemID="{CA0A435C-CF7C-034E-9F3B-576221DF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4629</Words>
  <Characters>25461</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Barreiro Quintáns Daniel</dc:creator>
  <cp:lastModifiedBy>Ángel Miramontes</cp:lastModifiedBy>
  <cp:revision>4</cp:revision>
  <cp:lastPrinted>2022-01-02T19:02:00Z</cp:lastPrinted>
  <dcterms:created xsi:type="dcterms:W3CDTF">2022-03-29T16:00:00Z</dcterms:created>
  <dcterms:modified xsi:type="dcterms:W3CDTF">2022-03-29T16:03:00Z</dcterms:modified>
</cp:coreProperties>
</file>