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DDD96" w14:textId="180D8A35" w:rsidR="003F2A1F" w:rsidRPr="00A40BE8" w:rsidRDefault="003F2A1F" w:rsidP="00BC18CA">
      <w:pPr>
        <w:pStyle w:val="P68B1DB1-Normal4"/>
        <w:spacing w:after="0" w:line="240" w:lineRule="auto"/>
        <w:contextualSpacing/>
        <w:rPr>
          <w:sz w:val="22"/>
          <w:szCs w:val="18"/>
        </w:rPr>
      </w:pPr>
      <w:r w:rsidRPr="00EF773B">
        <w:rPr>
          <w:sz w:val="22"/>
          <w:szCs w:val="18"/>
        </w:rPr>
        <w:t>Tab 1. In</w:t>
      </w:r>
      <w:bookmarkStart w:id="0" w:name="_GoBack"/>
      <w:bookmarkEnd w:id="0"/>
      <w:r w:rsidRPr="00EF773B">
        <w:rPr>
          <w:sz w:val="22"/>
          <w:szCs w:val="18"/>
        </w:rPr>
        <w:t xml:space="preserve">dicators related to the City of Culture (Source: Annual Reports. </w:t>
      </w:r>
      <w:r w:rsidR="00AE6438" w:rsidRPr="00692B1F">
        <w:rPr>
          <w:sz w:val="22"/>
          <w:szCs w:val="18"/>
        </w:rPr>
        <w:t>Authors' own work</w:t>
      </w:r>
      <w:r w:rsidRPr="00EF773B">
        <w:rPr>
          <w:sz w:val="22"/>
          <w:szCs w:val="18"/>
        </w:rPr>
        <w:t>).</w:t>
      </w:r>
    </w:p>
    <w:p w14:paraId="1A82B9A7" w14:textId="77777777" w:rsidR="003F2A1F" w:rsidRPr="00DD33B9" w:rsidRDefault="003F2A1F" w:rsidP="003F2A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1134"/>
        <w:gridCol w:w="1276"/>
        <w:gridCol w:w="1733"/>
      </w:tblGrid>
      <w:tr w:rsidR="003F2A1F" w:rsidRPr="00C73C09" w14:paraId="424363F5" w14:textId="77777777" w:rsidTr="00A72230">
        <w:trPr>
          <w:trHeight w:val="22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8FFA1" w14:textId="77777777" w:rsidR="003F2A1F" w:rsidRPr="00DD33B9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D33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393A9" w14:textId="77777777" w:rsidR="003F2A1F" w:rsidRPr="00C73C09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3C09">
              <w:rPr>
                <w:rFonts w:ascii="Times New Roman" w:hAnsi="Times New Roman" w:cs="Times New Roman"/>
                <w:b/>
                <w:bCs/>
                <w:i/>
                <w:iCs/>
              </w:rPr>
              <w:t>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A1E0" w14:textId="77777777" w:rsidR="003F2A1F" w:rsidRPr="00C73C09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3C09">
              <w:rPr>
                <w:rFonts w:ascii="Times New Roman" w:hAnsi="Times New Roman" w:cs="Times New Roman"/>
                <w:b/>
                <w:bCs/>
                <w:i/>
                <w:iCs/>
              </w:rPr>
              <w:t>2019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2BC02" w14:textId="77777777" w:rsidR="003F2A1F" w:rsidRPr="00C73C09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3C09">
              <w:rPr>
                <w:rFonts w:ascii="Times New Roman" w:hAnsi="Times New Roman" w:cs="Times New Roman"/>
                <w:b/>
                <w:bCs/>
                <w:i/>
                <w:iCs/>
              </w:rPr>
              <w:t>2020</w:t>
            </w:r>
          </w:p>
        </w:tc>
      </w:tr>
      <w:tr w:rsidR="003F2A1F" w:rsidRPr="00C011D2" w14:paraId="7DF48796" w14:textId="77777777" w:rsidTr="00A72230">
        <w:trPr>
          <w:trHeight w:val="187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E7D34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Visitors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0D80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830,212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F0FE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1,152,380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A261A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555,609</w:t>
            </w:r>
          </w:p>
        </w:tc>
      </w:tr>
      <w:tr w:rsidR="003F2A1F" w:rsidRPr="00C011D2" w14:paraId="295F211B" w14:textId="77777777" w:rsidTr="00A72230">
        <w:trPr>
          <w:trHeight w:val="26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28506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Access to the web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F0A6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3263">
              <w:rPr>
                <w:rFonts w:ascii="Times New Roman" w:hAnsi="Times New Roman" w:cs="Times New Roman"/>
                <w:color w:val="FF0000"/>
              </w:rPr>
              <w:t>n.d.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F65B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3263">
              <w:rPr>
                <w:rFonts w:ascii="Times New Roman" w:hAnsi="Times New Roman" w:cs="Times New Roman"/>
                <w:color w:val="FF0000"/>
              </w:rPr>
              <w:t>n.d.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0EA08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228,147</w:t>
            </w:r>
          </w:p>
        </w:tc>
      </w:tr>
      <w:tr w:rsidR="003F2A1F" w:rsidRPr="00C011D2" w14:paraId="1114A72F" w14:textId="77777777" w:rsidTr="00A72230">
        <w:trPr>
          <w:trHeight w:val="86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5C760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Visitors to the Museum in person</w:t>
            </w:r>
          </w:p>
          <w:p w14:paraId="443E7B0D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Participants in guided tours</w:t>
            </w:r>
          </w:p>
          <w:p w14:paraId="2C037F03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 xml:space="preserve">Participants in educational tours by videoconference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4F0A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72,969</w:t>
            </w:r>
          </w:p>
          <w:p w14:paraId="47E0E7E8" w14:textId="77777777" w:rsidR="003F2A1F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A2D8EBE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20,760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D23C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129,004</w:t>
            </w:r>
          </w:p>
          <w:p w14:paraId="39931F04" w14:textId="77777777" w:rsidR="003F2A1F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C19A069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22,145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BD2AE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60,779</w:t>
            </w:r>
          </w:p>
          <w:p w14:paraId="523E44B0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12,466</w:t>
            </w:r>
          </w:p>
          <w:p w14:paraId="39DDE7DC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3,748</w:t>
            </w:r>
          </w:p>
        </w:tc>
      </w:tr>
      <w:tr w:rsidR="003F2A1F" w:rsidRPr="00C011D2" w14:paraId="2E2EBACE" w14:textId="77777777" w:rsidTr="00A72230">
        <w:trPr>
          <w:trHeight w:val="48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E7BC2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Visitors to cultural activities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9878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171,653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0903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191,308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294A1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75,804 in person</w:t>
            </w:r>
          </w:p>
          <w:p w14:paraId="44ACA47A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30,582 online</w:t>
            </w:r>
          </w:p>
        </w:tc>
      </w:tr>
      <w:tr w:rsidR="003F2A1F" w:rsidRPr="00C011D2" w14:paraId="2E08A8E7" w14:textId="77777777" w:rsidTr="00A72230">
        <w:trPr>
          <w:trHeight w:val="341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14C8C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Cultural activities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7D48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3EFA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5AE32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102</w:t>
            </w:r>
          </w:p>
        </w:tc>
      </w:tr>
      <w:tr w:rsidR="003F2A1F" w:rsidRPr="00C011D2" w14:paraId="1DE7AA15" w14:textId="77777777" w:rsidTr="00A72230">
        <w:trPr>
          <w:trHeight w:val="19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47FC2" w14:textId="77777777" w:rsidR="003F2A1F" w:rsidRPr="00C011D2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C011D2">
              <w:rPr>
                <w:rFonts w:ascii="Times New Roman" w:hAnsi="Times New Roman" w:cs="Times New Roman"/>
                <w:i/>
                <w:iCs/>
              </w:rPr>
              <w:t>Exhibitions and recreational and educational activities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0725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D1631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94A63" w14:textId="77777777" w:rsidR="003F2A1F" w:rsidRPr="00C011D2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011D2">
              <w:rPr>
                <w:rFonts w:ascii="Times New Roman" w:hAnsi="Times New Roman" w:cs="Times New Roman"/>
              </w:rPr>
              <w:t>24</w:t>
            </w:r>
          </w:p>
        </w:tc>
      </w:tr>
    </w:tbl>
    <w:p w14:paraId="5B74B39B" w14:textId="77777777" w:rsidR="003F2A1F" w:rsidRDefault="003F2A1F" w:rsidP="003F2A1F">
      <w:pPr>
        <w:pStyle w:val="P68B1DB1-Normal4"/>
        <w:spacing w:after="0" w:line="240" w:lineRule="auto"/>
        <w:contextualSpacing/>
        <w:jc w:val="both"/>
        <w:rPr>
          <w:sz w:val="22"/>
          <w:szCs w:val="18"/>
          <w:highlight w:val="yellow"/>
        </w:rPr>
      </w:pPr>
    </w:p>
    <w:p w14:paraId="0D60E471" w14:textId="61514851" w:rsidR="007D319D" w:rsidRDefault="007D319D"/>
    <w:p w14:paraId="06503AEC" w14:textId="4EF12E00" w:rsidR="003F2A1F" w:rsidRDefault="003F2A1F"/>
    <w:p w14:paraId="157E8DAB" w14:textId="64B06185" w:rsidR="003F2A1F" w:rsidRDefault="003F2A1F"/>
    <w:p w14:paraId="5D9A0C92" w14:textId="79E13466" w:rsidR="003F2A1F" w:rsidRDefault="003F2A1F"/>
    <w:p w14:paraId="4FA41475" w14:textId="64B19974" w:rsidR="003F2A1F" w:rsidRDefault="003F2A1F"/>
    <w:p w14:paraId="0C58E5E3" w14:textId="4977FAC6" w:rsidR="003F2A1F" w:rsidRDefault="003F2A1F"/>
    <w:p w14:paraId="1ADC5872" w14:textId="1239D114" w:rsidR="003F2A1F" w:rsidRDefault="003F2A1F"/>
    <w:p w14:paraId="4F16A091" w14:textId="321AAC46" w:rsidR="003F2A1F" w:rsidRDefault="003F2A1F"/>
    <w:p w14:paraId="444FCBDA" w14:textId="444C3C8B" w:rsidR="003F2A1F" w:rsidRDefault="003F2A1F"/>
    <w:p w14:paraId="3BBB6BE0" w14:textId="20263FE0" w:rsidR="003F2A1F" w:rsidRDefault="003F2A1F"/>
    <w:p w14:paraId="766D437F" w14:textId="58C35825" w:rsidR="003F2A1F" w:rsidRDefault="003F2A1F"/>
    <w:p w14:paraId="59196AC4" w14:textId="3F21CD8D" w:rsidR="003F2A1F" w:rsidRDefault="003F2A1F"/>
    <w:p w14:paraId="0ED766BA" w14:textId="788CB280" w:rsidR="003F2A1F" w:rsidRDefault="003F2A1F"/>
    <w:p w14:paraId="48A8DCE6" w14:textId="112F3BE6" w:rsidR="003F2A1F" w:rsidRDefault="003F2A1F"/>
    <w:p w14:paraId="5C199FF3" w14:textId="5E1A0C5C" w:rsidR="003F2A1F" w:rsidRDefault="003F2A1F"/>
    <w:p w14:paraId="28591285" w14:textId="7C283DC6" w:rsidR="003F2A1F" w:rsidRDefault="003F2A1F"/>
    <w:p w14:paraId="2ED6BD62" w14:textId="7F2C142B" w:rsidR="003F2A1F" w:rsidRDefault="003F2A1F"/>
    <w:p w14:paraId="590E9EF8" w14:textId="20F578EC" w:rsidR="003F2A1F" w:rsidRDefault="003F2A1F"/>
    <w:p w14:paraId="38194A35" w14:textId="3D409D49" w:rsidR="003F2A1F" w:rsidRDefault="003F2A1F"/>
    <w:p w14:paraId="2CD438DB" w14:textId="15850F3C" w:rsidR="003F2A1F" w:rsidRPr="003F2A1F" w:rsidRDefault="003F2A1F" w:rsidP="00BC18CA">
      <w:pPr>
        <w:pStyle w:val="P68B1DB1-Normal5"/>
        <w:spacing w:before="240" w:after="240" w:line="240" w:lineRule="auto"/>
        <w:rPr>
          <w:sz w:val="22"/>
          <w:szCs w:val="18"/>
        </w:rPr>
      </w:pPr>
      <w:r w:rsidRPr="00EF773B">
        <w:rPr>
          <w:sz w:val="22"/>
          <w:szCs w:val="18"/>
        </w:rPr>
        <w:lastRenderedPageBreak/>
        <w:t>Tab</w:t>
      </w:r>
      <w:r>
        <w:rPr>
          <w:sz w:val="22"/>
          <w:szCs w:val="18"/>
        </w:rPr>
        <w:t>. 2</w:t>
      </w:r>
      <w:r w:rsidRPr="00EF773B">
        <w:rPr>
          <w:sz w:val="22"/>
          <w:szCs w:val="18"/>
        </w:rPr>
        <w:t>. Interviews conducted and qualified opinions within the framework of this research</w:t>
      </w:r>
      <w:r>
        <w:rPr>
          <w:sz w:val="22"/>
          <w:szCs w:val="18"/>
        </w:rPr>
        <w:t>.</w:t>
      </w:r>
      <w:r w:rsidRPr="00EF773B">
        <w:rPr>
          <w:sz w:val="22"/>
          <w:szCs w:val="18"/>
        </w:rPr>
        <w:t xml:space="preserve"> (Source: </w:t>
      </w:r>
      <w:r>
        <w:rPr>
          <w:sz w:val="22"/>
          <w:szCs w:val="18"/>
        </w:rPr>
        <w:t>a</w:t>
      </w:r>
      <w:r w:rsidRPr="00692B1F">
        <w:rPr>
          <w:sz w:val="22"/>
          <w:szCs w:val="18"/>
        </w:rPr>
        <w:t>uthors' own work</w:t>
      </w:r>
      <w:r w:rsidRPr="00EF773B">
        <w:rPr>
          <w:sz w:val="22"/>
          <w:szCs w:val="18"/>
        </w:rPr>
        <w:t>).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5067"/>
        <w:gridCol w:w="1100"/>
        <w:gridCol w:w="947"/>
      </w:tblGrid>
      <w:tr w:rsidR="00BC18CA" w:rsidRPr="00E56412" w14:paraId="0F51DA56" w14:textId="77777777" w:rsidTr="00C539B2">
        <w:trPr>
          <w:trHeight w:val="523"/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1A6FA" w14:textId="77777777" w:rsidR="00BC18CA" w:rsidRPr="00E56412" w:rsidRDefault="00BC18CA" w:rsidP="00C539B2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bookmarkStart w:id="1" w:name="_Hlk89844271"/>
            <w:r w:rsidRPr="00E56412">
              <w:rPr>
                <w:rFonts w:asciiTheme="majorBidi" w:hAnsiTheme="majorBidi" w:cstheme="majorBidi"/>
                <w:b/>
                <w:bCs/>
                <w:sz w:val="20"/>
              </w:rPr>
              <w:t>Interviewee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FBD89" w14:textId="77777777" w:rsidR="00BC18CA" w:rsidRPr="00E56412" w:rsidRDefault="00BC18CA" w:rsidP="00C539B2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E56412">
              <w:rPr>
                <w:rFonts w:asciiTheme="majorBidi" w:hAnsiTheme="majorBidi" w:cstheme="majorBidi"/>
                <w:b/>
                <w:bCs/>
                <w:sz w:val="20"/>
              </w:rPr>
              <w:t>Profile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6D5DD" w14:textId="77777777" w:rsidR="00BC18CA" w:rsidRPr="00E56412" w:rsidRDefault="00BC18CA" w:rsidP="00C539B2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E56412">
              <w:rPr>
                <w:rFonts w:asciiTheme="majorBidi" w:hAnsiTheme="majorBidi" w:cstheme="majorBidi"/>
                <w:b/>
                <w:bCs/>
                <w:sz w:val="20"/>
              </w:rPr>
              <w:t>Date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72F64" w14:textId="77777777" w:rsidR="00BC18CA" w:rsidRPr="00E56412" w:rsidRDefault="00BC18CA" w:rsidP="00C539B2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E56412">
              <w:rPr>
                <w:rFonts w:asciiTheme="majorBidi" w:hAnsiTheme="majorBidi" w:cstheme="majorBidi"/>
                <w:b/>
                <w:bCs/>
                <w:sz w:val="20"/>
              </w:rPr>
              <w:t>Type</w:t>
            </w:r>
          </w:p>
        </w:tc>
      </w:tr>
      <w:tr w:rsidR="00BC18CA" w:rsidRPr="00E56412" w14:paraId="1A8EA657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1C1E6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Mercedes Vázquez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Bertomeu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87848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Member of the San Pedro Neighbourhood Association “A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Xuntanza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”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B594B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20.10.2021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D64BE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Online</w:t>
            </w:r>
          </w:p>
        </w:tc>
      </w:tr>
      <w:tr w:rsidR="00BC18CA" w:rsidRPr="00E56412" w14:paraId="1EEDBB0A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01EDC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Iago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Lestegás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CD429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Resident of Santiago de Compostela, architect, doctor in Geography and Spatial Planning.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3F4A6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20.10.2021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D5049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By phone</w:t>
            </w:r>
          </w:p>
        </w:tc>
      </w:tr>
      <w:tr w:rsidR="00BC18CA" w:rsidRPr="00E56412" w14:paraId="3B796D49" w14:textId="77777777" w:rsidTr="00C539B2">
        <w:trPr>
          <w:trHeight w:val="376"/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D4327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Xerardo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Pereiro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Pérez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604CF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Lecturer of Social Anthropology at the University of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Trás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-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os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-Montes e Alto Douro (north of Portugal). 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36AA4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24.10.2021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EEF91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Online</w:t>
            </w:r>
          </w:p>
        </w:tc>
      </w:tr>
      <w:tr w:rsidR="00BC18CA" w:rsidRPr="00E56412" w14:paraId="3B3FDA01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25AAB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David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Reinero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D2119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Journalist for the online news website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praza.gal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. DR is an investigative journalist specialised in surveillance of power, who has extensively analysed the cultural policies and public facilities developed by the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Xunta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de Galicia. 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B80CA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23.10.2021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8B4E1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Online</w:t>
            </w:r>
          </w:p>
        </w:tc>
      </w:tr>
      <w:tr w:rsidR="00BC18CA" w:rsidRPr="00E56412" w14:paraId="1B82D174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B3008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Xosé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Allegue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>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E6A51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Chief Architect of the Santiago de Compostela Consortium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15CE0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26.10.2021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4C0BD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Online</w:t>
            </w:r>
          </w:p>
        </w:tc>
      </w:tr>
      <w:tr w:rsidR="00BC18CA" w:rsidRPr="00E56412" w14:paraId="220A8E6E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A0ADD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Marta Lois González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F6AD9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Lecturer of Political Science at the University of Santiago, currently a member of the city's local government, MLG has been responsible for the management of the area of tourism.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2C0E6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29.10.2021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F2EFE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By phone</w:t>
            </w:r>
          </w:p>
        </w:tc>
      </w:tr>
      <w:tr w:rsidR="00BC18CA" w:rsidRPr="00E56412" w14:paraId="2137CDEF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6E8BB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  <w:lang w:val="es-ES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Marcos Lorenzo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Gallego</w:t>
            </w:r>
            <w:proofErr w:type="spellEnd"/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B0E72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Culture officer in Ferrol Council. MLG has been project coordinator in the Galicia City of Culture </w:t>
            </w: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61451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2.11.2021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6264A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Online</w:t>
            </w:r>
          </w:p>
        </w:tc>
      </w:tr>
      <w:tr w:rsidR="00BC18CA" w:rsidRPr="00E56412" w14:paraId="3F12C1B5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4169F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Miguel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Anxo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Rodríguez González </w:t>
            </w:r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4D8EE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Professor of Contemporary Art History at the University of Santiago de Compostela. </w:t>
            </w:r>
          </w:p>
          <w:p w14:paraId="05431661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E3AB6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19.11.2021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5028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In presence</w:t>
            </w:r>
          </w:p>
        </w:tc>
      </w:tr>
      <w:tr w:rsidR="00BC18CA" w:rsidRPr="00E56412" w14:paraId="45F5FD3B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E18EA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Jorge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Linheira</w:t>
            </w:r>
            <w:proofErr w:type="spellEnd"/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B2E2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  <w:lang w:val="fr-FR"/>
              </w:rPr>
            </w:pPr>
            <w:r w:rsidRPr="00E56412">
              <w:rPr>
                <w:rFonts w:asciiTheme="majorBidi" w:hAnsiTheme="majorBidi" w:cstheme="majorBidi"/>
                <w:sz w:val="20"/>
                <w:lang w:val="fr-FR"/>
              </w:rPr>
              <w:t xml:space="preserve">Cultural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  <w:lang w:val="fr-FR"/>
              </w:rPr>
              <w:t>Technical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  <w:lang w:val="fr-FR"/>
              </w:rPr>
              <w:t xml:space="preserve"> Infrastructures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  <w:lang w:val="fr-FR"/>
              </w:rPr>
              <w:t>responsible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  <w:lang w:val="fr-FR"/>
              </w:rPr>
              <w:t xml:space="preserve"> in Pontevedra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  <w:lang w:val="fr-FR"/>
              </w:rPr>
              <w:t>Municipality</w:t>
            </w:r>
            <w:proofErr w:type="spellEnd"/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4D4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24.11.2021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22DC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By phone</w:t>
            </w:r>
          </w:p>
        </w:tc>
      </w:tr>
      <w:tr w:rsidR="00BC18CA" w:rsidRPr="00E56412" w14:paraId="047B4EA9" w14:textId="77777777" w:rsidTr="00C539B2">
        <w:trPr>
          <w:jc w:val="center"/>
        </w:trPr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99D4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</w:rPr>
            </w:pPr>
            <w:bookmarkStart w:id="2" w:name="_Hlk89880179"/>
            <w:r w:rsidRPr="00E56412">
              <w:rPr>
                <w:rFonts w:asciiTheme="majorBidi" w:hAnsiTheme="majorBidi" w:cstheme="majorBidi"/>
                <w:sz w:val="20"/>
              </w:rPr>
              <w:t xml:space="preserve">Ana Isabel Vázquez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Reboredo</w:t>
            </w:r>
            <w:proofErr w:type="spellEnd"/>
          </w:p>
        </w:tc>
        <w:tc>
          <w:tcPr>
            <w:tcW w:w="2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0D57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hAnsiTheme="majorBidi" w:cstheme="majorBidi"/>
                <w:sz w:val="20"/>
                <w:lang w:val="fr-FR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 xml:space="preserve">Manager of the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Fundación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Cidade</w:t>
            </w:r>
            <w:proofErr w:type="spellEnd"/>
            <w:r w:rsidRPr="00E56412">
              <w:rPr>
                <w:rFonts w:asciiTheme="majorBidi" w:hAnsiTheme="majorBidi" w:cstheme="majorBidi"/>
                <w:sz w:val="20"/>
              </w:rPr>
              <w:t xml:space="preserve"> da </w:t>
            </w:r>
            <w:proofErr w:type="spellStart"/>
            <w:r w:rsidRPr="00E56412">
              <w:rPr>
                <w:rFonts w:asciiTheme="majorBidi" w:hAnsiTheme="majorBidi" w:cstheme="majorBidi"/>
                <w:sz w:val="20"/>
              </w:rPr>
              <w:t>Cultura</w:t>
            </w:r>
            <w:proofErr w:type="spellEnd"/>
          </w:p>
        </w:tc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ACB4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2.12.2021</w:t>
            </w:r>
          </w:p>
        </w:tc>
        <w:tc>
          <w:tcPr>
            <w:tcW w:w="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45706" w14:textId="77777777" w:rsidR="00BC18CA" w:rsidRPr="00E56412" w:rsidRDefault="00BC18CA" w:rsidP="00C539B2">
            <w:pPr>
              <w:spacing w:line="240" w:lineRule="auto"/>
              <w:contextualSpacing/>
              <w:rPr>
                <w:rFonts w:asciiTheme="majorBidi" w:eastAsia="Times New Roman" w:hAnsiTheme="majorBidi" w:cstheme="majorBidi"/>
                <w:sz w:val="20"/>
              </w:rPr>
            </w:pPr>
            <w:r w:rsidRPr="00E56412">
              <w:rPr>
                <w:rFonts w:asciiTheme="majorBidi" w:hAnsiTheme="majorBidi" w:cstheme="majorBidi"/>
                <w:sz w:val="20"/>
              </w:rPr>
              <w:t>In presence</w:t>
            </w:r>
          </w:p>
        </w:tc>
      </w:tr>
      <w:bookmarkEnd w:id="1"/>
      <w:bookmarkEnd w:id="2"/>
    </w:tbl>
    <w:p w14:paraId="66AED886" w14:textId="4D444775" w:rsidR="003F2A1F" w:rsidRDefault="003F2A1F"/>
    <w:p w14:paraId="098555D5" w14:textId="77777777" w:rsidR="00BC18CA" w:rsidRDefault="00BC18CA"/>
    <w:p w14:paraId="5B3A74D7" w14:textId="77777777" w:rsidR="00BC18CA" w:rsidRDefault="00BC18CA"/>
    <w:p w14:paraId="6CA1393D" w14:textId="77777777" w:rsidR="00BC18CA" w:rsidRDefault="00BC18CA"/>
    <w:p w14:paraId="001DD0E6" w14:textId="77777777" w:rsidR="00BC18CA" w:rsidRDefault="00BC18CA"/>
    <w:p w14:paraId="4F7643BF" w14:textId="40129C0D" w:rsidR="003F2A1F" w:rsidRDefault="003F2A1F"/>
    <w:p w14:paraId="2055CD2A" w14:textId="16AC74F7" w:rsidR="003F2A1F" w:rsidRDefault="003F2A1F"/>
    <w:p w14:paraId="710FDDC0" w14:textId="08BB0D88" w:rsidR="003F2A1F" w:rsidRDefault="003F2A1F"/>
    <w:p w14:paraId="6C1302CD" w14:textId="649E6DCC" w:rsidR="003F2A1F" w:rsidRPr="003F2A1F" w:rsidRDefault="003F2A1F" w:rsidP="003F2A1F">
      <w:pPr>
        <w:pStyle w:val="P68B1DB1-Normal2"/>
        <w:spacing w:before="240" w:after="240" w:line="240" w:lineRule="auto"/>
        <w:contextualSpacing/>
        <w:jc w:val="both"/>
        <w:rPr>
          <w:sz w:val="22"/>
          <w:szCs w:val="18"/>
        </w:rPr>
      </w:pPr>
      <w:r w:rsidRPr="00692B1F">
        <w:rPr>
          <w:sz w:val="22"/>
          <w:szCs w:val="18"/>
        </w:rPr>
        <w:t>Tab</w:t>
      </w:r>
      <w:r>
        <w:rPr>
          <w:sz w:val="22"/>
          <w:szCs w:val="18"/>
        </w:rPr>
        <w:t>. 3</w:t>
      </w:r>
      <w:r w:rsidRPr="00692B1F">
        <w:rPr>
          <w:sz w:val="22"/>
          <w:szCs w:val="18"/>
        </w:rPr>
        <w:t xml:space="preserve">. Vision and objectives of the City of Culture in the different strategic documents at local and regional level. </w:t>
      </w:r>
      <w:r>
        <w:rPr>
          <w:sz w:val="22"/>
          <w:szCs w:val="18"/>
        </w:rPr>
        <w:t>(</w:t>
      </w:r>
      <w:r w:rsidRPr="00692B1F">
        <w:rPr>
          <w:sz w:val="22"/>
          <w:szCs w:val="18"/>
        </w:rPr>
        <w:t>Source: Cited strategic documents.</w:t>
      </w:r>
      <w:r>
        <w:rPr>
          <w:sz w:val="22"/>
          <w:szCs w:val="18"/>
        </w:rPr>
        <w:t xml:space="preserve"> </w:t>
      </w:r>
      <w:r w:rsidRPr="00692B1F">
        <w:rPr>
          <w:sz w:val="22"/>
          <w:szCs w:val="18"/>
        </w:rPr>
        <w:t>Authors' own work</w:t>
      </w:r>
      <w:r>
        <w:rPr>
          <w:sz w:val="22"/>
          <w:szCs w:val="18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2887"/>
        <w:gridCol w:w="3300"/>
      </w:tblGrid>
      <w:tr w:rsidR="003F2A1F" w:rsidRPr="003F2A1F" w14:paraId="2B19E45F" w14:textId="77777777" w:rsidTr="00A72230">
        <w:trPr>
          <w:trHeight w:val="1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AEB49" w14:textId="77777777" w:rsidR="003F2A1F" w:rsidRPr="003F2A1F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2A1F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Strategic Document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111FA" w14:textId="77777777" w:rsidR="003F2A1F" w:rsidRPr="003F2A1F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2A1F">
              <w:rPr>
                <w:rFonts w:ascii="Times New Roman" w:hAnsi="Times New Roman" w:cs="Times New Roman"/>
                <w:b/>
                <w:bCs/>
                <w:sz w:val="20"/>
              </w:rPr>
              <w:t>Image of the CoC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BA871" w14:textId="77777777" w:rsidR="003F2A1F" w:rsidRPr="003F2A1F" w:rsidRDefault="003F2A1F" w:rsidP="00A722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F2A1F">
              <w:rPr>
                <w:rFonts w:ascii="Times New Roman" w:hAnsi="Times New Roman" w:cs="Times New Roman"/>
                <w:b/>
                <w:bCs/>
                <w:sz w:val="20"/>
              </w:rPr>
              <w:t>CoC objectives</w:t>
            </w:r>
          </w:p>
        </w:tc>
      </w:tr>
      <w:tr w:rsidR="003F2A1F" w:rsidRPr="003F2A1F" w14:paraId="5D4E50C7" w14:textId="77777777" w:rsidTr="00AE643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AEAE1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2006 City of Culture Usage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16F77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Visual icon of Galicia in the 21st century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DE4C7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Galician cultural activity driver</w:t>
            </w:r>
          </w:p>
        </w:tc>
      </w:tr>
      <w:tr w:rsidR="003F2A1F" w:rsidRPr="003F2A1F" w14:paraId="7FDC48E4" w14:textId="77777777" w:rsidTr="00AE6438">
        <w:trPr>
          <w:trHeight w:val="15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DBBC2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2012-2018 City of Culture Strategic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8D6AC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 Strategic project for Galicia: social, economic and cultural development.</w:t>
            </w:r>
          </w:p>
          <w:p w14:paraId="4B24E740" w14:textId="72B33D49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 Cultural industry engine: creation, production, distribution and commercialisation.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85F9C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-Positioning the CoC internationally</w:t>
            </w:r>
          </w:p>
          <w:p w14:paraId="5F08C9F3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 Engine of change towards a new production model in Galicia based on culture, creativity, innovation and</w:t>
            </w:r>
          </w:p>
          <w:p w14:paraId="6F3846CB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external connections.</w:t>
            </w:r>
          </w:p>
          <w:p w14:paraId="5D00B994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F2A1F" w:rsidRPr="003F2A1F" w14:paraId="00A6AB75" w14:textId="77777777" w:rsidTr="00A72230">
        <w:trPr>
          <w:trHeight w:val="10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542C5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Galicia City of Culture 2nd Strategic Plan (2021-2027)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F67CB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CoC as a manufacturer of cultural content for all of Galicia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DA3A0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-Promote the cultural sector, internationalisation</w:t>
            </w:r>
          </w:p>
          <w:p w14:paraId="23FAF28A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-Integration of the Galician public university system</w:t>
            </w:r>
          </w:p>
          <w:p w14:paraId="6D37618F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2A1F" w:rsidRPr="003F2A1F" w14:paraId="604D6D5C" w14:textId="77777777" w:rsidTr="00A72230">
        <w:trPr>
          <w:trHeight w:val="9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C4866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Strategic Marketing Plan for Tourism: Santiago de Compostela,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240EF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CoC as a future project that presents good opportunities for the city</w:t>
            </w:r>
          </w:p>
          <w:p w14:paraId="6FC1C190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CoC as a new high-capacity and high-quality facility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BA45D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Good integration between the CoC project and Santiago's old city</w:t>
            </w:r>
          </w:p>
        </w:tc>
      </w:tr>
      <w:tr w:rsidR="003F2A1F" w:rsidRPr="003F2A1F" w14:paraId="57661A04" w14:textId="77777777" w:rsidTr="00A72230">
        <w:trPr>
          <w:trHeight w:val="2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939B7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lang w:val="es-ES"/>
              </w:rPr>
            </w:pPr>
            <w:r w:rsidRPr="003F2A1F">
              <w:rPr>
                <w:rFonts w:ascii="Times New Roman" w:hAnsi="Times New Roman" w:cs="Times New Roman"/>
                <w:sz w:val="20"/>
                <w:lang w:val="es-ES"/>
              </w:rPr>
              <w:t xml:space="preserve">2007 Santiago de Compostela </w:t>
            </w:r>
            <w:proofErr w:type="spellStart"/>
            <w:r w:rsidRPr="003F2A1F">
              <w:rPr>
                <w:rFonts w:ascii="Times New Roman" w:hAnsi="Times New Roman" w:cs="Times New Roman"/>
                <w:sz w:val="20"/>
                <w:lang w:val="es-ES"/>
              </w:rPr>
              <w:t>Strategic</w:t>
            </w:r>
            <w:proofErr w:type="spellEnd"/>
            <w:r w:rsidRPr="003F2A1F">
              <w:rPr>
                <w:rFonts w:ascii="Times New Roman" w:hAnsi="Times New Roman" w:cs="Times New Roman"/>
                <w:sz w:val="20"/>
                <w:lang w:val="es-ES"/>
              </w:rPr>
              <w:t xml:space="preserve">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7EC6A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CoC as the central element of a city of knowledge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54432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Exploit the CoC to achieve greater international visibility</w:t>
            </w:r>
          </w:p>
        </w:tc>
      </w:tr>
      <w:tr w:rsidR="003F2A1F" w:rsidRPr="003F2A1F" w14:paraId="757E2ABE" w14:textId="77777777" w:rsidTr="00A72230">
        <w:trPr>
          <w:trHeight w:val="7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0E765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2009-2015 Santiago de Compostela Tourism Strategic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9BC4C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988B3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Integration of the CoC with Santiago's old city</w:t>
            </w:r>
          </w:p>
        </w:tc>
      </w:tr>
      <w:tr w:rsidR="003F2A1F" w:rsidRPr="003F2A1F" w14:paraId="65DDC6DA" w14:textId="77777777" w:rsidTr="003F2A1F">
        <w:trPr>
          <w:trHeight w:val="8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AB4A3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2014-2020 Santiago DUSI (Sustainable and Integrated Urban Development) Strategy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07D32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City of Culture as an intercultural node of Galicia</w:t>
            </w:r>
          </w:p>
          <w:p w14:paraId="6E3FD8E7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10BC8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Integration of the City of Culture in the urban fabric</w:t>
            </w:r>
          </w:p>
        </w:tc>
      </w:tr>
      <w:tr w:rsidR="003F2A1F" w:rsidRPr="003F2A1F" w14:paraId="0C290EDE" w14:textId="77777777" w:rsidTr="003F2A1F">
        <w:trPr>
          <w:trHeight w:val="11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2992D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2017-2022 Santiago de Compostela Tourism Strategic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B101E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Identification of the CoC as a main tourist attraction for the City, and as a resource driver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60E49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Introducing new ways of connecting the City of Culture, even recovering the cable car project</w:t>
            </w:r>
          </w:p>
          <w:p w14:paraId="33DEF9FC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CoC as a complement to the MICE cultural and tourism offer</w:t>
            </w:r>
          </w:p>
        </w:tc>
      </w:tr>
      <w:tr w:rsidR="003F2A1F" w:rsidRPr="003F2A1F" w14:paraId="229A9C2E" w14:textId="77777777" w:rsidTr="00A72230">
        <w:trPr>
          <w:trHeight w:val="6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C17B8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2010-2014 Galicia Strategic Plan Horizon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6A2BF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Link between Europe and America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E3601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Extend the Galicia brand internationally</w:t>
            </w:r>
          </w:p>
        </w:tc>
      </w:tr>
      <w:tr w:rsidR="003F2A1F" w:rsidRPr="003F2A1F" w14:paraId="23BFAC31" w14:textId="77777777" w:rsidTr="00A72230">
        <w:trPr>
          <w:trHeight w:val="6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6660E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 xml:space="preserve">2015-2020 Galicia Strategic Plan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5FCA8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Driving force for innovation in the Galician cultural and creative sectors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A7D24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Develop an interdisciplinary program of contemporary cultural action</w:t>
            </w:r>
          </w:p>
        </w:tc>
      </w:tr>
      <w:tr w:rsidR="003F2A1F" w:rsidRPr="003F2A1F" w14:paraId="4AAF2700" w14:textId="77777777" w:rsidTr="00AE6438">
        <w:trPr>
          <w:trHeight w:val="4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D8CAD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2020-2030 Galicia Strategic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A7727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Supporter of Galician culture entrepreneurship, technology, and programming</w:t>
            </w:r>
          </w:p>
          <w:p w14:paraId="6AC9F6BF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BE696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-Integration in the cultural life of Galicia, adapting its spaces to cultural production and not the other way around.</w:t>
            </w:r>
          </w:p>
          <w:p w14:paraId="2099E33C" w14:textId="77777777" w:rsidR="003F2A1F" w:rsidRPr="003F2A1F" w:rsidRDefault="003F2A1F" w:rsidP="00A7223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F2A1F">
              <w:rPr>
                <w:rFonts w:ascii="Times New Roman" w:hAnsi="Times New Roman" w:cs="Times New Roman"/>
                <w:sz w:val="20"/>
              </w:rPr>
              <w:t>- Host to various entities and coordinating bodies.</w:t>
            </w:r>
          </w:p>
        </w:tc>
      </w:tr>
    </w:tbl>
    <w:p w14:paraId="56C53F5B" w14:textId="77777777" w:rsidR="003F2A1F" w:rsidRDefault="003F2A1F" w:rsidP="00AE6438"/>
    <w:sectPr w:rsidR="003F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71"/>
    <w:rsid w:val="00277E71"/>
    <w:rsid w:val="003F2A1F"/>
    <w:rsid w:val="007D319D"/>
    <w:rsid w:val="00AE6438"/>
    <w:rsid w:val="00BC18CA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A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1F"/>
    <w:rPr>
      <w:szCs w:val="2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68B1DB1-Normal4">
    <w:name w:val="P68B1DB1-Normal4"/>
    <w:basedOn w:val="Normal"/>
    <w:rsid w:val="003F2A1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68B1DB1-Normal5">
    <w:name w:val="P68B1DB1-Normal5"/>
    <w:basedOn w:val="Normal"/>
    <w:rsid w:val="003F2A1F"/>
    <w:rPr>
      <w:rFonts w:ascii="Times New Roman" w:eastAsia="Times New Roman" w:hAnsi="Times New Roman" w:cs="Times New Roman"/>
      <w:sz w:val="24"/>
    </w:rPr>
  </w:style>
  <w:style w:type="paragraph" w:customStyle="1" w:styleId="P68B1DB1-Normal2">
    <w:name w:val="P68B1DB1-Normal2"/>
    <w:basedOn w:val="Normal"/>
    <w:rsid w:val="003F2A1F"/>
    <w:rPr>
      <w:rFonts w:ascii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1F"/>
    <w:rPr>
      <w:szCs w:val="2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68B1DB1-Normal4">
    <w:name w:val="P68B1DB1-Normal4"/>
    <w:basedOn w:val="Normal"/>
    <w:rsid w:val="003F2A1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68B1DB1-Normal5">
    <w:name w:val="P68B1DB1-Normal5"/>
    <w:basedOn w:val="Normal"/>
    <w:rsid w:val="003F2A1F"/>
    <w:rPr>
      <w:rFonts w:ascii="Times New Roman" w:eastAsia="Times New Roman" w:hAnsi="Times New Roman" w:cs="Times New Roman"/>
      <w:sz w:val="24"/>
    </w:rPr>
  </w:style>
  <w:style w:type="paragraph" w:customStyle="1" w:styleId="P68B1DB1-Normal2">
    <w:name w:val="P68B1DB1-Normal2"/>
    <w:basedOn w:val="Normal"/>
    <w:rsid w:val="003F2A1F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Lopez</dc:creator>
  <cp:keywords/>
  <dc:description/>
  <cp:lastModifiedBy>Lucrecia</cp:lastModifiedBy>
  <cp:revision>5</cp:revision>
  <dcterms:created xsi:type="dcterms:W3CDTF">2021-12-08T07:23:00Z</dcterms:created>
  <dcterms:modified xsi:type="dcterms:W3CDTF">2021-12-09T09:46:00Z</dcterms:modified>
</cp:coreProperties>
</file>