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1C9" w:rsidRPr="00410DBE" w:rsidRDefault="003571C9" w:rsidP="003571C9">
      <w:pPr>
        <w:spacing w:line="360" w:lineRule="auto"/>
        <w:contextualSpacing/>
        <w:jc w:val="both"/>
        <w:rPr>
          <w:i/>
          <w:color w:val="000000" w:themeColor="text1"/>
        </w:rPr>
      </w:pPr>
      <w:r w:rsidRPr="00410DBE">
        <w:rPr>
          <w:i/>
          <w:color w:val="000000" w:themeColor="text1"/>
        </w:rPr>
        <w:t>Appendice</w:t>
      </w:r>
    </w:p>
    <w:p w:rsidR="003571C9" w:rsidRPr="00410DBE" w:rsidRDefault="003571C9" w:rsidP="003571C9">
      <w:pPr>
        <w:spacing w:line="360" w:lineRule="auto"/>
        <w:contextualSpacing/>
        <w:jc w:val="both"/>
        <w:rPr>
          <w:color w:val="000000" w:themeColor="text1"/>
        </w:rPr>
      </w:pPr>
      <w:r w:rsidRPr="00410DBE">
        <w:rPr>
          <w:color w:val="000000" w:themeColor="text1"/>
        </w:rPr>
        <w:t>Fig. 1.</w:t>
      </w:r>
      <w:r w:rsidRPr="00410DBE">
        <w:rPr>
          <w:i/>
          <w:color w:val="000000" w:themeColor="text1"/>
        </w:rPr>
        <w:t xml:space="preserve"> </w:t>
      </w:r>
      <w:r w:rsidRPr="00410DBE">
        <w:rPr>
          <w:color w:val="000000" w:themeColor="text1"/>
        </w:rPr>
        <w:t xml:space="preserve"> Compravendita di unità immobiliari a uso abitazione e accessori, considerando le variazioni congiunturali (terzo trimestre 2020 / secondo trimestre 2020) sugli indici destagionalizzati e tendenziali (terzo trimestre 2020 / terzo trimestre 2019) sugli indici grezzi. (Fonte: ISTAT)</w:t>
      </w:r>
    </w:p>
    <w:p w:rsidR="003571C9" w:rsidRPr="00410DBE" w:rsidRDefault="003571C9" w:rsidP="003571C9">
      <w:pPr>
        <w:spacing w:line="360" w:lineRule="auto"/>
        <w:contextualSpacing/>
        <w:jc w:val="both"/>
        <w:rPr>
          <w:color w:val="000000" w:themeColor="text1"/>
        </w:rPr>
      </w:pPr>
      <w:r w:rsidRPr="00410DBE">
        <w:rPr>
          <w:color w:val="000000" w:themeColor="text1"/>
        </w:rPr>
        <w:t>Fig. 2. Le dieci province con il maggiore incremento della domanda di vendita da Gennaio a Ottobre 2020. (Fonte: Idealista)</w:t>
      </w:r>
    </w:p>
    <w:p w:rsidR="00006C85" w:rsidRDefault="003571C9">
      <w:bookmarkStart w:id="0" w:name="_GoBack"/>
      <w:bookmarkEnd w:id="0"/>
    </w:p>
    <w:sectPr w:rsidR="00006C85" w:rsidSect="00D860AD">
      <w:footerReference w:type="even" r:id="rId4"/>
      <w:footerReference w:type="default" r:id="rId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38" w:rsidRDefault="003571C9" w:rsidP="00567280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4F38" w:rsidRDefault="003571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38" w:rsidRDefault="003571C9" w:rsidP="00567280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F4F38" w:rsidRDefault="003571C9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C9"/>
    <w:rsid w:val="00240FE4"/>
    <w:rsid w:val="003571C9"/>
    <w:rsid w:val="00405A24"/>
    <w:rsid w:val="00732254"/>
    <w:rsid w:val="00951EB6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4C385B-3BF1-BB43-9244-A754B958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71C9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57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1C9"/>
    <w:rPr>
      <w:rFonts w:ascii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5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2022-03-27T16:18:00Z</dcterms:created>
  <dcterms:modified xsi:type="dcterms:W3CDTF">2022-03-27T16:19:00Z</dcterms:modified>
</cp:coreProperties>
</file>