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592A" w14:textId="1B211A2B" w:rsidR="0001647B" w:rsidRDefault="00A1688D" w:rsidP="00A1688D">
      <w:pPr>
        <w:jc w:val="center"/>
      </w:pPr>
      <w:r w:rsidRPr="00B83360">
        <w:rPr>
          <w:noProof/>
        </w:rPr>
        <w:drawing>
          <wp:inline distT="0" distB="0" distL="0" distR="0" wp14:anchorId="6679D55F" wp14:editId="6AFB7B05">
            <wp:extent cx="4533089" cy="1848255"/>
            <wp:effectExtent l="0" t="0" r="1270" b="0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7CC1A00" w14:textId="77777777" w:rsidR="00A1688D" w:rsidRPr="00A1688D" w:rsidRDefault="00A1688D" w:rsidP="00A1688D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</w:pPr>
      <w:bookmarkStart w:id="0" w:name="_Hlk84543646"/>
      <w:r w:rsidRPr="00A1688D"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t>Fig. 5. Leve strategiche adottate dai musei d’impresa italiani (fonte: nostra elaborazione)</w:t>
      </w:r>
      <w:bookmarkEnd w:id="0"/>
    </w:p>
    <w:p w14:paraId="5FF59825" w14:textId="77777777" w:rsidR="00A1688D" w:rsidRPr="00A1688D" w:rsidRDefault="00A1688D" w:rsidP="00A1688D">
      <w:pPr>
        <w:ind w:firstLine="708"/>
      </w:pPr>
    </w:p>
    <w:sectPr w:rsidR="00A1688D" w:rsidRPr="00A16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8D"/>
    <w:rsid w:val="0001647B"/>
    <w:rsid w:val="00A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EAFA"/>
  <w15:chartTrackingRefBased/>
  <w15:docId w15:val="{66A95197-8556-4DCF-B42D-53DF900B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Foglio1!$A$2:$A$5</c:f>
              <c:strCache>
                <c:ptCount val="4"/>
                <c:pt idx="0">
                  <c:v>1. Strumenti informativi nel percorso di visita</c:v>
                </c:pt>
                <c:pt idx="1">
                  <c:v>2. Differenziazione dell'offerta</c:v>
                </c:pt>
                <c:pt idx="2">
                  <c:v>3. Marketing esperenziale</c:v>
                </c:pt>
                <c:pt idx="3">
                  <c:v>4. Interazioni con soggetti locali</c:v>
                </c:pt>
              </c:strCache>
            </c:strRef>
          </c:cat>
          <c:val>
            <c:numRef>
              <c:f>Foglio1!$B$2:$B$5</c:f>
              <c:numCache>
                <c:formatCode>0.00%</c:formatCode>
                <c:ptCount val="4"/>
                <c:pt idx="0">
                  <c:v>0.62</c:v>
                </c:pt>
                <c:pt idx="1">
                  <c:v>0.78</c:v>
                </c:pt>
                <c:pt idx="2">
                  <c:v>0.36</c:v>
                </c:pt>
                <c:pt idx="3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4-400E-8A41-CDAD5E6B361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858984847"/>
        <c:axId val="942048511"/>
      </c:barChart>
      <c:catAx>
        <c:axId val="858984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it-IT"/>
          </a:p>
        </c:txPr>
        <c:crossAx val="942048511"/>
        <c:crosses val="autoZero"/>
        <c:auto val="1"/>
        <c:lblAlgn val="ctr"/>
        <c:lblOffset val="100"/>
        <c:noMultiLvlLbl val="0"/>
      </c:catAx>
      <c:valAx>
        <c:axId val="942048511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858984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1</cp:revision>
  <dcterms:created xsi:type="dcterms:W3CDTF">2022-08-17T20:59:00Z</dcterms:created>
  <dcterms:modified xsi:type="dcterms:W3CDTF">2022-08-17T21:00:00Z</dcterms:modified>
</cp:coreProperties>
</file>