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7D82" w14:textId="46AC0381" w:rsidR="0001647B" w:rsidRDefault="0095137D">
      <w:r w:rsidRPr="00B83360">
        <w:rPr>
          <w:noProof/>
        </w:rPr>
        <w:drawing>
          <wp:inline distT="0" distB="0" distL="0" distR="0" wp14:anchorId="261FC032" wp14:editId="2B1CF444">
            <wp:extent cx="5466944" cy="3307404"/>
            <wp:effectExtent l="0" t="0" r="635" b="762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40626AA" w14:textId="77777777" w:rsidR="0095137D" w:rsidRPr="0095137D" w:rsidRDefault="0095137D" w:rsidP="0095137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</w:pPr>
      <w:r w:rsidRPr="0095137D"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  <w:t>Fig. 3. Obiettivi strategici dei musei d’impresa: analisi qualitativa (principali tipologie e incidenza %) (fonte: nostra elaborazione)</w:t>
      </w:r>
    </w:p>
    <w:p w14:paraId="500F3F8F" w14:textId="77777777" w:rsidR="0095137D" w:rsidRPr="0095137D" w:rsidRDefault="0095137D" w:rsidP="0095137D"/>
    <w:sectPr w:rsidR="0095137D" w:rsidRPr="00951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7D"/>
    <w:rsid w:val="0001647B"/>
    <w:rsid w:val="0095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173A"/>
  <w15:chartTrackingRefBased/>
  <w15:docId w15:val="{4400EF3F-4C22-4EB0-97F0-7EFD5FA1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6170543105188777"/>
          <c:y val="4.9194991055456175E-2"/>
          <c:w val="0.53829456894811223"/>
          <c:h val="0.901610017889087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Foglio1!$A$2:$A$8</c:f>
              <c:strCache>
                <c:ptCount val="7"/>
                <c:pt idx="0">
                  <c:v>7.  Diffondere e consolidare la cultura aziendale, il sentimento di appartenenza e la carica motivazionale dei dipendenti aziendali</c:v>
                </c:pt>
                <c:pt idx="1">
                  <c:v>6. Comunicare la corporate social responsibility dell’impresa</c:v>
                </c:pt>
                <c:pt idx="2">
                  <c:v>5.  Rafforzare i legami dell’azienda con altre istituzioni e attività locali</c:v>
                </c:pt>
                <c:pt idx="3">
                  <c:v>4.  Fornire informazioni sugli altri musei locali, sul patrimonio diffuso, sulla città e il territorio e sull’offerta culturale locale</c:v>
                </c:pt>
                <c:pt idx="4">
                  <c:v>3.   Mettere in luce il radicamento dell’azienda nel contesto locale e/o gli scambievoli vantaggi impresa-territorio</c:v>
                </c:pt>
                <c:pt idx="5">
                  <c:v>2.  Illustrare l’intera gamma del valore ossia le caratteristiche materiali e immateriali dei prodotti e dei processi dell’azienda </c:v>
                </c:pt>
                <c:pt idx="6">
                  <c:v>1. Valorizzare l’Heritage aziendale</c:v>
                </c:pt>
              </c:strCache>
            </c:strRef>
          </c:cat>
          <c:val>
            <c:numRef>
              <c:f>Foglio1!$B$2:$B$8</c:f>
              <c:numCache>
                <c:formatCode>0%</c:formatCode>
                <c:ptCount val="7"/>
                <c:pt idx="0">
                  <c:v>0.74</c:v>
                </c:pt>
                <c:pt idx="1">
                  <c:v>0.68</c:v>
                </c:pt>
                <c:pt idx="2">
                  <c:v>0.8</c:v>
                </c:pt>
                <c:pt idx="3">
                  <c:v>0.52</c:v>
                </c:pt>
                <c:pt idx="4">
                  <c:v>0.84</c:v>
                </c:pt>
                <c:pt idx="5">
                  <c:v>0.74</c:v>
                </c:pt>
                <c:pt idx="6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30-4A2C-8AF7-978426B790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"/>
        <c:axId val="1166122479"/>
        <c:axId val="1168011503"/>
      </c:barChart>
      <c:catAx>
        <c:axId val="11661224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68011503"/>
        <c:crosses val="autoZero"/>
        <c:auto val="1"/>
        <c:lblAlgn val="ctr"/>
        <c:lblOffset val="100"/>
        <c:noMultiLvlLbl val="0"/>
      </c:catAx>
      <c:valAx>
        <c:axId val="116801150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661224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Laudando</dc:creator>
  <cp:keywords/>
  <dc:description/>
  <cp:lastModifiedBy>Antonio Laudando</cp:lastModifiedBy>
  <cp:revision>1</cp:revision>
  <dcterms:created xsi:type="dcterms:W3CDTF">2022-08-17T20:57:00Z</dcterms:created>
  <dcterms:modified xsi:type="dcterms:W3CDTF">2022-08-17T20:58:00Z</dcterms:modified>
</cp:coreProperties>
</file>