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E2D4" w14:textId="77777777" w:rsidR="000F237F" w:rsidRDefault="000F237F" w:rsidP="000F237F"/>
    <w:p w14:paraId="50A477B9" w14:textId="47A1341C" w:rsidR="00AD18A2" w:rsidRDefault="000F237F" w:rsidP="000F237F">
      <w:pPr>
        <w:jc w:val="center"/>
      </w:pPr>
      <w:r w:rsidRPr="000F237F">
        <w:rPr>
          <w:noProof/>
        </w:rPr>
        <w:drawing>
          <wp:inline distT="0" distB="0" distL="0" distR="0" wp14:anchorId="56121AB7" wp14:editId="3D92E67E">
            <wp:extent cx="5390515" cy="1325819"/>
            <wp:effectExtent l="0" t="0" r="0" b="825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48" r="11914"/>
                    <a:stretch/>
                  </pic:blipFill>
                  <pic:spPr bwMode="auto">
                    <a:xfrm>
                      <a:off x="0" y="0"/>
                      <a:ext cx="5390984" cy="132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ECA684" w14:textId="0A3CD0C7" w:rsidR="002E14CF" w:rsidRDefault="00BC684F" w:rsidP="002E14CF">
      <w:pPr>
        <w:jc w:val="center"/>
      </w:pPr>
      <w:r w:rsidRPr="002E0D8C" w:rsidDel="006C16EB">
        <w:rPr>
          <w:rFonts w:ascii="Times New Roman" w:hAnsi="Times New Roman" w:cs="Times New Roman"/>
          <w:bCs/>
          <w:iCs/>
          <w:sz w:val="24"/>
          <w:szCs w:val="24"/>
        </w:rPr>
        <w:t>Fig</w:t>
      </w:r>
      <w:r w:rsidRPr="002E0D8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2E0D8C" w:rsidDel="006C16EB">
        <w:rPr>
          <w:rFonts w:ascii="Times New Roman" w:hAnsi="Times New Roman" w:cs="Times New Roman"/>
          <w:bCs/>
          <w:iCs/>
          <w:sz w:val="24"/>
          <w:szCs w:val="24"/>
        </w:rPr>
        <w:t xml:space="preserve"> 1</w:t>
      </w:r>
      <w:r w:rsidRPr="002E0D8C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2E0D8C" w:rsidDel="006C16E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E0D8C">
        <w:rPr>
          <w:rFonts w:ascii="Times New Roman" w:hAnsi="Times New Roman" w:cs="Times New Roman"/>
          <w:bCs/>
          <w:iCs/>
          <w:sz w:val="24"/>
          <w:szCs w:val="24"/>
        </w:rPr>
        <w:t xml:space="preserve">Tipologie di </w:t>
      </w:r>
      <w:r w:rsidR="000F237F">
        <w:rPr>
          <w:rFonts w:ascii="Times New Roman" w:hAnsi="Times New Roman" w:cs="Times New Roman"/>
          <w:bCs/>
          <w:iCs/>
          <w:sz w:val="24"/>
          <w:szCs w:val="24"/>
        </w:rPr>
        <w:t>musei d’impresa</w:t>
      </w:r>
      <w:r w:rsidRPr="002E0D8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2E0D8C" w:rsidDel="006C16EB">
        <w:rPr>
          <w:rFonts w:ascii="Times New Roman" w:hAnsi="Times New Roman" w:cs="Times New Roman"/>
          <w:iCs/>
          <w:sz w:val="24"/>
          <w:szCs w:val="24"/>
        </w:rPr>
        <w:t>(</w:t>
      </w:r>
      <w:r w:rsidRPr="002E0D8C">
        <w:rPr>
          <w:rFonts w:ascii="Times New Roman" w:hAnsi="Times New Roman" w:cs="Times New Roman"/>
          <w:iCs/>
          <w:sz w:val="24"/>
          <w:szCs w:val="24"/>
        </w:rPr>
        <w:t>fonte</w:t>
      </w:r>
      <w:r w:rsidRPr="002E0D8C" w:rsidDel="006C16EB">
        <w:rPr>
          <w:rFonts w:ascii="Times New Roman" w:hAnsi="Times New Roman" w:cs="Times New Roman"/>
          <w:iCs/>
          <w:sz w:val="24"/>
          <w:szCs w:val="24"/>
        </w:rPr>
        <w:t>: Montella, 2018)</w:t>
      </w:r>
    </w:p>
    <w:p w14:paraId="71E7B164" w14:textId="77777777" w:rsidR="002E14CF" w:rsidRDefault="002E14CF" w:rsidP="002E14CF">
      <w:pPr>
        <w:jc w:val="center"/>
      </w:pPr>
    </w:p>
    <w:p w14:paraId="616B324A" w14:textId="77777777" w:rsidR="00BC684F" w:rsidRDefault="00BC684F" w:rsidP="002E14CF">
      <w:pPr>
        <w:jc w:val="center"/>
        <w:rPr>
          <w:noProof/>
        </w:rPr>
      </w:pPr>
    </w:p>
    <w:p w14:paraId="20DD89B2" w14:textId="727D7E5A" w:rsidR="002E14CF" w:rsidRDefault="00147716" w:rsidP="002E14CF">
      <w:pPr>
        <w:jc w:val="center"/>
      </w:pPr>
      <w:r>
        <w:rPr>
          <w:noProof/>
        </w:rPr>
        <w:drawing>
          <wp:inline distT="0" distB="0" distL="0" distR="0" wp14:anchorId="4AB76E90" wp14:editId="19C9EC5D">
            <wp:extent cx="4742815" cy="5157470"/>
            <wp:effectExtent l="0" t="0" r="635" b="508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15" cy="515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703FD" w14:textId="6C2B2CF3" w:rsidR="00BC684F" w:rsidRPr="002E0D8C" w:rsidDel="006C16EB" w:rsidRDefault="00BC684F" w:rsidP="00BC68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8C" w:rsidDel="006C16EB">
        <w:rPr>
          <w:rFonts w:ascii="Times New Roman" w:hAnsi="Times New Roman" w:cs="Times New Roman"/>
          <w:sz w:val="24"/>
          <w:szCs w:val="24"/>
        </w:rPr>
        <w:t>Fig. 2</w:t>
      </w:r>
      <w:r w:rsidRPr="002E0D8C">
        <w:rPr>
          <w:rFonts w:ascii="Times New Roman" w:hAnsi="Times New Roman" w:cs="Times New Roman"/>
          <w:sz w:val="24"/>
          <w:szCs w:val="24"/>
        </w:rPr>
        <w:t xml:space="preserve">. Gli elementi essenziali della strategia dei </w:t>
      </w:r>
      <w:r w:rsidR="000F237F">
        <w:rPr>
          <w:rFonts w:ascii="Times New Roman" w:hAnsi="Times New Roman" w:cs="Times New Roman"/>
          <w:sz w:val="24"/>
          <w:szCs w:val="24"/>
        </w:rPr>
        <w:t>musei d’impresa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D8C" w:rsidDel="006C16EB">
        <w:rPr>
          <w:rFonts w:ascii="Times New Roman" w:hAnsi="Times New Roman" w:cs="Times New Roman"/>
          <w:sz w:val="24"/>
          <w:szCs w:val="24"/>
        </w:rPr>
        <w:t>(</w:t>
      </w:r>
      <w:r w:rsidRPr="002E0D8C">
        <w:rPr>
          <w:rFonts w:ascii="Times New Roman" w:hAnsi="Times New Roman" w:cs="Times New Roman"/>
          <w:sz w:val="24"/>
          <w:szCs w:val="24"/>
        </w:rPr>
        <w:t>fonte: nostra elaborazione</w:t>
      </w:r>
      <w:r w:rsidRPr="002E0D8C" w:rsidDel="006C16EB">
        <w:rPr>
          <w:rFonts w:ascii="Times New Roman" w:hAnsi="Times New Roman" w:cs="Times New Roman"/>
          <w:sz w:val="24"/>
          <w:szCs w:val="24"/>
        </w:rPr>
        <w:t>)</w:t>
      </w:r>
    </w:p>
    <w:p w14:paraId="3CA8195E" w14:textId="5617746E" w:rsidR="002E14CF" w:rsidRDefault="002E14CF" w:rsidP="002E14CF">
      <w:pPr>
        <w:jc w:val="center"/>
      </w:pPr>
    </w:p>
    <w:p w14:paraId="5CDA857D" w14:textId="463FEAF8" w:rsidR="002E14CF" w:rsidRDefault="002E14CF" w:rsidP="002E14CF">
      <w:pPr>
        <w:jc w:val="center"/>
      </w:pPr>
    </w:p>
    <w:p w14:paraId="1D260EC7" w14:textId="5811A43C" w:rsidR="002E14CF" w:rsidRDefault="002E14CF" w:rsidP="002E14CF">
      <w:pPr>
        <w:jc w:val="center"/>
      </w:pPr>
    </w:p>
    <w:p w14:paraId="31E2A278" w14:textId="77777777" w:rsidR="00BC684F" w:rsidRDefault="00BC684F" w:rsidP="002E14CF">
      <w:pPr>
        <w:jc w:val="center"/>
        <w:rPr>
          <w:noProof/>
        </w:rPr>
      </w:pPr>
    </w:p>
    <w:p w14:paraId="37D677A0" w14:textId="5518C24B" w:rsidR="002E14CF" w:rsidRDefault="002E14CF" w:rsidP="002E14CF">
      <w:pPr>
        <w:jc w:val="center"/>
      </w:pPr>
      <w:r w:rsidRPr="002E14CF">
        <w:rPr>
          <w:noProof/>
        </w:rPr>
        <w:drawing>
          <wp:inline distT="0" distB="0" distL="0" distR="0" wp14:anchorId="1B09C8B7" wp14:editId="4D192BF2">
            <wp:extent cx="5674130" cy="3715473"/>
            <wp:effectExtent l="0" t="0" r="317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48"/>
                    <a:stretch/>
                  </pic:blipFill>
                  <pic:spPr bwMode="auto">
                    <a:xfrm>
                      <a:off x="0" y="0"/>
                      <a:ext cx="5676361" cy="371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6F6E21" w14:textId="4DB8C200" w:rsidR="00BC684F" w:rsidRPr="00BC684F" w:rsidRDefault="00BC684F" w:rsidP="00BC684F">
      <w:pPr>
        <w:rPr>
          <w:rFonts w:ascii="Times New Roman" w:hAnsi="Times New Roman" w:cs="Times New Roman"/>
          <w:iCs/>
          <w:sz w:val="24"/>
          <w:szCs w:val="24"/>
        </w:rPr>
      </w:pPr>
      <w:r w:rsidRPr="00BC684F">
        <w:rPr>
          <w:rFonts w:ascii="Times New Roman" w:hAnsi="Times New Roman" w:cs="Times New Roman"/>
          <w:iCs/>
          <w:sz w:val="24"/>
          <w:szCs w:val="24"/>
        </w:rPr>
        <w:t xml:space="preserve">Fig. 3. Obiettivi strategici dei </w:t>
      </w:r>
      <w:r w:rsidR="000F237F">
        <w:rPr>
          <w:rFonts w:ascii="Times New Roman" w:hAnsi="Times New Roman" w:cs="Times New Roman"/>
          <w:iCs/>
          <w:sz w:val="24"/>
          <w:szCs w:val="24"/>
        </w:rPr>
        <w:t>musei d’impresa</w:t>
      </w:r>
      <w:r w:rsidRPr="00BC684F">
        <w:rPr>
          <w:rFonts w:ascii="Times New Roman" w:hAnsi="Times New Roman" w:cs="Times New Roman"/>
          <w:iCs/>
          <w:sz w:val="24"/>
          <w:szCs w:val="24"/>
        </w:rPr>
        <w:t>: analisi qualitativa (principali tipologie e incidenza %) (fonte: ns. elaborazione)</w:t>
      </w:r>
    </w:p>
    <w:p w14:paraId="5F6397F4" w14:textId="1092D13E" w:rsidR="002E14CF" w:rsidRDefault="002E14CF" w:rsidP="002E14CF"/>
    <w:p w14:paraId="6B71FE2E" w14:textId="6C54C63F" w:rsidR="002E14CF" w:rsidRDefault="002E14CF" w:rsidP="002E14CF"/>
    <w:p w14:paraId="0B465BF2" w14:textId="77777777" w:rsidR="002E14CF" w:rsidRDefault="002E14CF" w:rsidP="002E14CF"/>
    <w:p w14:paraId="1F4A8B1C" w14:textId="2B4E5BEC" w:rsidR="002E14CF" w:rsidRDefault="002E14CF" w:rsidP="00BC684F">
      <w:pPr>
        <w:tabs>
          <w:tab w:val="left" w:pos="2850"/>
        </w:tabs>
        <w:jc w:val="center"/>
      </w:pPr>
      <w:r w:rsidRPr="002E14CF">
        <w:rPr>
          <w:noProof/>
        </w:rPr>
        <w:drawing>
          <wp:inline distT="0" distB="0" distL="0" distR="0" wp14:anchorId="2B426CC8" wp14:editId="1ABEF875">
            <wp:extent cx="5415994" cy="2615878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69"/>
                    <a:stretch/>
                  </pic:blipFill>
                  <pic:spPr bwMode="auto">
                    <a:xfrm>
                      <a:off x="0" y="0"/>
                      <a:ext cx="5421183" cy="261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A2FBAA" w14:textId="1F892A2C" w:rsidR="002E14CF" w:rsidRDefault="00BC684F" w:rsidP="002E14CF">
      <w:pPr>
        <w:tabs>
          <w:tab w:val="left" w:pos="2850"/>
        </w:tabs>
        <w:jc w:val="center"/>
      </w:pPr>
      <w:r w:rsidRPr="002E0D8C">
        <w:rPr>
          <w:rFonts w:ascii="Times New Roman" w:hAnsi="Times New Roman" w:cs="Times New Roman"/>
          <w:noProof/>
          <w:sz w:val="24"/>
          <w:szCs w:val="24"/>
        </w:rPr>
        <w:t xml:space="preserve">Fig. 4. Leve strategiche adottate dai </w:t>
      </w:r>
      <w:r w:rsidR="000F237F">
        <w:rPr>
          <w:rFonts w:ascii="Times New Roman" w:hAnsi="Times New Roman" w:cs="Times New Roman"/>
          <w:noProof/>
          <w:sz w:val="24"/>
          <w:szCs w:val="24"/>
        </w:rPr>
        <w:t>musei d’impresa</w:t>
      </w:r>
      <w:r w:rsidRPr="002E0D8C">
        <w:rPr>
          <w:rFonts w:ascii="Times New Roman" w:hAnsi="Times New Roman" w:cs="Times New Roman"/>
          <w:noProof/>
          <w:sz w:val="24"/>
          <w:szCs w:val="24"/>
        </w:rPr>
        <w:t xml:space="preserve"> italiani (fonte: ns. elaborazione)</w:t>
      </w:r>
    </w:p>
    <w:p w14:paraId="59B885D8" w14:textId="08960C68" w:rsidR="00BC684F" w:rsidRDefault="002E14CF" w:rsidP="002E14CF">
      <w:pPr>
        <w:tabs>
          <w:tab w:val="left" w:pos="855"/>
          <w:tab w:val="left" w:pos="2850"/>
        </w:tabs>
      </w:pPr>
      <w:r>
        <w:tab/>
      </w:r>
    </w:p>
    <w:p w14:paraId="3FD8949E" w14:textId="77777777" w:rsidR="000F237F" w:rsidRDefault="000F237F" w:rsidP="00BC684F">
      <w:pPr>
        <w:tabs>
          <w:tab w:val="left" w:pos="855"/>
          <w:tab w:val="left" w:pos="2850"/>
        </w:tabs>
        <w:jc w:val="center"/>
      </w:pPr>
    </w:p>
    <w:p w14:paraId="16C17E59" w14:textId="77777777" w:rsidR="000F237F" w:rsidRDefault="000F237F" w:rsidP="00BC684F">
      <w:pPr>
        <w:tabs>
          <w:tab w:val="left" w:pos="855"/>
          <w:tab w:val="left" w:pos="2850"/>
        </w:tabs>
        <w:jc w:val="center"/>
      </w:pPr>
    </w:p>
    <w:p w14:paraId="1E7B82D3" w14:textId="57B6EDA2" w:rsidR="00BC684F" w:rsidRDefault="00716D5E" w:rsidP="00BC684F">
      <w:pPr>
        <w:tabs>
          <w:tab w:val="left" w:pos="855"/>
          <w:tab w:val="left" w:pos="2850"/>
        </w:tabs>
        <w:jc w:val="center"/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FC74635" wp14:editId="3ADD22D7">
            <wp:extent cx="5477774" cy="4498975"/>
            <wp:effectExtent l="0" t="0" r="8890" b="0"/>
            <wp:docPr id="1" name="Immagine 1" descr="Immagine che contiene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av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253" cy="4499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935FF5" w14:textId="54660423" w:rsidR="00BC684F" w:rsidRDefault="00BC684F" w:rsidP="00BC684F">
      <w:pPr>
        <w:tabs>
          <w:tab w:val="left" w:pos="855"/>
          <w:tab w:val="left" w:pos="2850"/>
        </w:tabs>
        <w:jc w:val="both"/>
      </w:pPr>
    </w:p>
    <w:p w14:paraId="7C38F760" w14:textId="34683BEF" w:rsidR="00BC684F" w:rsidRPr="002E0D8C" w:rsidRDefault="00BC684F" w:rsidP="00BC684F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67346260"/>
      <w:r w:rsidRPr="002E0D8C">
        <w:rPr>
          <w:rFonts w:ascii="Times New Roman" w:hAnsi="Times New Roman" w:cs="Times New Roman"/>
          <w:iCs/>
          <w:sz w:val="24"/>
          <w:szCs w:val="24"/>
        </w:rPr>
        <w:t xml:space="preserve">Fig. 5.  </w:t>
      </w:r>
      <w:bookmarkEnd w:id="0"/>
      <w:r w:rsidRPr="002E0D8C">
        <w:rPr>
          <w:rFonts w:ascii="Times New Roman" w:hAnsi="Times New Roman" w:cs="Times New Roman"/>
          <w:iCs/>
          <w:sz w:val="24"/>
          <w:szCs w:val="24"/>
        </w:rPr>
        <w:t xml:space="preserve">Il posizionamento dei </w:t>
      </w:r>
      <w:r w:rsidR="000F237F">
        <w:rPr>
          <w:rFonts w:ascii="Times New Roman" w:hAnsi="Times New Roman" w:cs="Times New Roman"/>
          <w:iCs/>
          <w:sz w:val="24"/>
          <w:szCs w:val="24"/>
        </w:rPr>
        <w:t>musei d’impresa</w:t>
      </w:r>
      <w:r w:rsidRPr="002E0D8C">
        <w:rPr>
          <w:rFonts w:ascii="Times New Roman" w:hAnsi="Times New Roman" w:cs="Times New Roman"/>
          <w:iCs/>
          <w:sz w:val="24"/>
          <w:szCs w:val="24"/>
        </w:rPr>
        <w:t xml:space="preserve"> come strumenti efficaci di TRHM (fonte: nostra elaborazione)</w:t>
      </w:r>
    </w:p>
    <w:p w14:paraId="15BB216F" w14:textId="77777777" w:rsidR="00BC684F" w:rsidRPr="00BC684F" w:rsidRDefault="00BC684F" w:rsidP="00BC684F"/>
    <w:sectPr w:rsidR="00BC684F" w:rsidRPr="00BC68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AC50F" w14:textId="77777777" w:rsidR="00EF238C" w:rsidRDefault="00EF238C" w:rsidP="002E14CF">
      <w:pPr>
        <w:spacing w:after="0" w:line="240" w:lineRule="auto"/>
      </w:pPr>
      <w:r>
        <w:separator/>
      </w:r>
    </w:p>
  </w:endnote>
  <w:endnote w:type="continuationSeparator" w:id="0">
    <w:p w14:paraId="2447FDA0" w14:textId="77777777" w:rsidR="00EF238C" w:rsidRDefault="00EF238C" w:rsidP="002E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1B7A1" w14:textId="77777777" w:rsidR="00EF238C" w:rsidRDefault="00EF238C" w:rsidP="002E14CF">
      <w:pPr>
        <w:spacing w:after="0" w:line="240" w:lineRule="auto"/>
      </w:pPr>
      <w:r>
        <w:separator/>
      </w:r>
    </w:p>
  </w:footnote>
  <w:footnote w:type="continuationSeparator" w:id="0">
    <w:p w14:paraId="0DFCD589" w14:textId="77777777" w:rsidR="00EF238C" w:rsidRDefault="00EF238C" w:rsidP="002E1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0NDc2tDAxNrEwtTRR0lEKTi0uzszPAykwqQUAuAbEkCwAAAA="/>
  </w:docVars>
  <w:rsids>
    <w:rsidRoot w:val="002E14CF"/>
    <w:rsid w:val="000F237F"/>
    <w:rsid w:val="00147716"/>
    <w:rsid w:val="00196293"/>
    <w:rsid w:val="002E14CF"/>
    <w:rsid w:val="00593A5E"/>
    <w:rsid w:val="005B0FF9"/>
    <w:rsid w:val="00716D5E"/>
    <w:rsid w:val="00AD18A2"/>
    <w:rsid w:val="00BC684F"/>
    <w:rsid w:val="00C7448E"/>
    <w:rsid w:val="00EF238C"/>
    <w:rsid w:val="00F40D6D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A1AC"/>
  <w15:chartTrackingRefBased/>
  <w15:docId w15:val="{5E3B0FFA-263B-4D06-B79F-AD2CA2ED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</Words>
  <Characters>443</Characters>
  <DocSecurity>0</DocSecurity>
  <Lines>8</Lines>
  <Paragraphs>2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2021-10-30T14:07:00Z</dcterms:created>
  <dcterms:modified xsi:type="dcterms:W3CDTF">2021-10-30T14:07:00Z</dcterms:modified>
</cp:coreProperties>
</file>