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1E" w:rsidRPr="00DE55F9" w:rsidRDefault="00CB5B79">
      <w:pPr>
        <w:rPr>
          <w:sz w:val="24"/>
          <w:szCs w:val="24"/>
        </w:rPr>
      </w:pPr>
      <w:r w:rsidRPr="00DE55F9">
        <w:rPr>
          <w:sz w:val="24"/>
          <w:szCs w:val="24"/>
        </w:rPr>
        <w:t>BIBLIOGRAFIA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>
      <w:pPr>
        <w:rPr>
          <w:rFonts w:ascii="Times New Roman" w:hAnsi="Times New Roman" w:cs="Times New Roman"/>
          <w:color w:val="1A1A18"/>
          <w:sz w:val="24"/>
          <w:szCs w:val="24"/>
          <w:lang w:val="en-US"/>
        </w:rPr>
      </w:pPr>
      <w:r w:rsidRPr="00DE55F9">
        <w:rPr>
          <w:rFonts w:ascii="Times New Roman" w:hAnsi="Times New Roman" w:cs="Times New Roman"/>
          <w:color w:val="1A1A18"/>
          <w:sz w:val="24"/>
          <w:szCs w:val="24"/>
        </w:rPr>
        <w:t xml:space="preserve">Baldriga I,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Beyond pure-</w:t>
      </w:r>
      <w:proofErr w:type="spellStart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visuality</w:t>
      </w:r>
      <w:proofErr w:type="spellEnd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 xml:space="preserve">.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  <w:lang w:val="en-US"/>
        </w:rPr>
        <w:t>Critical approach, cultural heritage and the issue of competences in Italian art history teaching</w:t>
      </w:r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, in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  <w:lang w:val="en-US"/>
        </w:rPr>
        <w:t>Teaching Visual Arts in the UK and in France: a Comparative Perspective</w:t>
      </w:r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, Convegno </w:t>
      </w:r>
      <w:proofErr w:type="spellStart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anglo-francese</w:t>
      </w:r>
      <w:proofErr w:type="spellEnd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, </w:t>
      </w:r>
      <w:proofErr w:type="spellStart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Courtauld</w:t>
      </w:r>
      <w:proofErr w:type="spellEnd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 Institute of Art e </w:t>
      </w:r>
      <w:proofErr w:type="spellStart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Institut</w:t>
      </w:r>
      <w:proofErr w:type="spellEnd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 </w:t>
      </w:r>
      <w:proofErr w:type="spellStart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Français</w:t>
      </w:r>
      <w:proofErr w:type="spellEnd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 xml:space="preserve"> de </w:t>
      </w:r>
      <w:proofErr w:type="spellStart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Londre</w:t>
      </w:r>
      <w:proofErr w:type="spellEnd"/>
      <w:r w:rsidRPr="00DE55F9">
        <w:rPr>
          <w:rFonts w:ascii="Times New Roman" w:hAnsi="Times New Roman" w:cs="Times New Roman"/>
          <w:color w:val="1A1A18"/>
          <w:sz w:val="24"/>
          <w:szCs w:val="24"/>
          <w:lang w:val="en-US"/>
        </w:rPr>
        <w:t>, London, 2010.</w:t>
      </w:r>
    </w:p>
    <w:p w:rsidR="00B12753" w:rsidRPr="00DE55F9" w:rsidRDefault="00B12753">
      <w:pPr>
        <w:rPr>
          <w:rFonts w:ascii="Times New Roman" w:hAnsi="Times New Roman" w:cs="Times New Roman"/>
          <w:color w:val="1A1A18"/>
          <w:sz w:val="24"/>
          <w:szCs w:val="24"/>
        </w:rPr>
      </w:pPr>
      <w:r w:rsidRPr="00DE55F9">
        <w:rPr>
          <w:rFonts w:ascii="Times New Roman" w:hAnsi="Times New Roman" w:cs="Times New Roman"/>
          <w:color w:val="1A1A18"/>
          <w:sz w:val="24"/>
          <w:szCs w:val="24"/>
        </w:rPr>
        <w:t xml:space="preserve">Baldriga I. (2013a),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La didattica per competenze</w:t>
      </w:r>
      <w:r w:rsidRPr="00DE55F9">
        <w:rPr>
          <w:rFonts w:ascii="Times New Roman" w:hAnsi="Times New Roman" w:cs="Times New Roman"/>
          <w:color w:val="1A1A18"/>
          <w:sz w:val="24"/>
          <w:szCs w:val="24"/>
        </w:rPr>
        <w:t xml:space="preserve">, in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Art the Bridge, Arte come Ponte</w:t>
      </w:r>
      <w:r w:rsidRPr="00DE55F9">
        <w:rPr>
          <w:rFonts w:ascii="Times New Roman" w:hAnsi="Times New Roman" w:cs="Times New Roman"/>
          <w:color w:val="1A1A18"/>
          <w:sz w:val="24"/>
          <w:szCs w:val="24"/>
        </w:rPr>
        <w:t>, Atti del XVII Congresso Nazionale ANISA, Treviso, Auditorium Santa Caterina, 8-10 novembre 2013, Gangemi Editore, Roma</w:t>
      </w:r>
    </w:p>
    <w:p w:rsidR="00B12753" w:rsidRPr="00DE55F9" w:rsidRDefault="00B12753">
      <w:pPr>
        <w:rPr>
          <w:rFonts w:ascii="Times New Roman" w:hAnsi="Times New Roman" w:cs="Times New Roman"/>
          <w:color w:val="1A1A18"/>
          <w:sz w:val="24"/>
          <w:szCs w:val="24"/>
        </w:rPr>
      </w:pPr>
      <w:r w:rsidRPr="00DE55F9">
        <w:rPr>
          <w:rFonts w:ascii="Times New Roman" w:hAnsi="Times New Roman" w:cs="Times New Roman"/>
          <w:color w:val="1A1A18"/>
          <w:sz w:val="24"/>
          <w:szCs w:val="24"/>
        </w:rPr>
        <w:t>Bald</w:t>
      </w:r>
      <w:bookmarkStart w:id="0" w:name="_GoBack"/>
      <w:bookmarkEnd w:id="0"/>
      <w:r w:rsidRPr="00DE55F9">
        <w:rPr>
          <w:rFonts w:ascii="Times New Roman" w:hAnsi="Times New Roman" w:cs="Times New Roman"/>
          <w:color w:val="1A1A18"/>
          <w:sz w:val="24"/>
          <w:szCs w:val="24"/>
        </w:rPr>
        <w:t xml:space="preserve">riga I. (2013b),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 xml:space="preserve">La periodizzazione tra acquisizione dei </w:t>
      </w:r>
      <w:proofErr w:type="spellStart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saperi</w:t>
      </w:r>
      <w:proofErr w:type="spellEnd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 xml:space="preserve"> e didattica per competenze. L’insegnamento della Storia dell’arte nella scuola verso Europa 2020</w:t>
      </w:r>
      <w:r w:rsidRPr="00DE55F9">
        <w:rPr>
          <w:rFonts w:ascii="Times New Roman" w:hAnsi="Times New Roman" w:cs="Times New Roman"/>
          <w:color w:val="1A1A18"/>
          <w:sz w:val="24"/>
          <w:szCs w:val="24"/>
        </w:rPr>
        <w:t xml:space="preserve">, Convegno CUNSTA, Consulta Universitaria Nazionale per la Storia dell’Arte,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Fare la Storia dell’Arte oggi. La prospettiva storica. Ipotesi di discussione e rifondazione</w:t>
      </w:r>
      <w:r w:rsidRPr="00DE55F9">
        <w:rPr>
          <w:rFonts w:ascii="Times New Roman" w:hAnsi="Times New Roman" w:cs="Times New Roman"/>
          <w:color w:val="1A1A18"/>
          <w:sz w:val="24"/>
          <w:szCs w:val="24"/>
        </w:rPr>
        <w:t>, Milano, Università Cattolica del Sacro Cuore, 2013.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«Il lungo sguardo della Costituzione Italiana: il patrimonio culturale per un nuovo umanesimo», in </w:t>
      </w:r>
      <w:r w:rsidRPr="00DE55F9">
        <w:rPr>
          <w:rFonts w:ascii="Times New Roman" w:hAnsi="Times New Roman" w:cs="Times New Roman"/>
          <w:i/>
          <w:sz w:val="24"/>
          <w:szCs w:val="24"/>
        </w:rPr>
        <w:t xml:space="preserve">Rivista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</w:rPr>
        <w:t>Lasalliana</w:t>
      </w:r>
      <w:proofErr w:type="spellEnd"/>
      <w:r w:rsidRPr="00DE55F9">
        <w:rPr>
          <w:rFonts w:ascii="Times New Roman" w:hAnsi="Times New Roman" w:cs="Times New Roman"/>
          <w:i/>
          <w:sz w:val="24"/>
          <w:szCs w:val="24"/>
        </w:rPr>
        <w:t>. Trimestrale di cultura e formazione pedagogica</w:t>
      </w:r>
      <w:r w:rsidRPr="00DE55F9">
        <w:rPr>
          <w:rFonts w:ascii="Times New Roman" w:hAnsi="Times New Roman" w:cs="Times New Roman"/>
          <w:sz w:val="24"/>
          <w:szCs w:val="24"/>
        </w:rPr>
        <w:t>, 88, 2021, 3, pp. 297-306.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</w:t>
      </w:r>
      <w:r w:rsidRPr="00DE55F9">
        <w:rPr>
          <w:rFonts w:ascii="Times New Roman" w:hAnsi="Times New Roman" w:cs="Times New Roman"/>
          <w:i/>
          <w:sz w:val="24"/>
          <w:szCs w:val="24"/>
        </w:rPr>
        <w:t>Diritto alla bellezza. Educazione al patrimonio artistico, sostenibilità, cittadinanza</w:t>
      </w:r>
      <w:r w:rsidRPr="00DE55F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DE55F9">
        <w:rPr>
          <w:rFonts w:ascii="Times New Roman" w:hAnsi="Times New Roman" w:cs="Times New Roman"/>
          <w:sz w:val="24"/>
          <w:szCs w:val="24"/>
        </w:rPr>
        <w:t>Monnier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Università, Firenze, 2017.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</w:t>
      </w:r>
      <w:r w:rsidRPr="00DE55F9">
        <w:rPr>
          <w:rFonts w:ascii="Times New Roman" w:hAnsi="Times New Roman" w:cs="Times New Roman"/>
          <w:i/>
          <w:sz w:val="24"/>
          <w:szCs w:val="24"/>
        </w:rPr>
        <w:t>Estetica della cittadinanza. Per una nuova educazione civica</w:t>
      </w:r>
      <w:r w:rsidRPr="00DE55F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DE55F9">
        <w:rPr>
          <w:rFonts w:ascii="Times New Roman" w:hAnsi="Times New Roman" w:cs="Times New Roman"/>
          <w:sz w:val="24"/>
          <w:szCs w:val="24"/>
        </w:rPr>
        <w:t>Monnier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Università, Firenze, 2020.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</w:t>
      </w:r>
      <w:r w:rsidRPr="00DE55F9">
        <w:rPr>
          <w:rFonts w:ascii="Times New Roman" w:hAnsi="Times New Roman" w:cs="Times New Roman"/>
          <w:i/>
          <w:iCs/>
          <w:sz w:val="24"/>
          <w:szCs w:val="24"/>
        </w:rPr>
        <w:t>Laboratori di cittadinanza. La missione dello storico dell’arte, docente di scuola nel secolo XXI</w:t>
      </w:r>
      <w:r w:rsidRPr="00DE55F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E55F9">
        <w:rPr>
          <w:rFonts w:ascii="Times New Roman" w:hAnsi="Times New Roman" w:cs="Times New Roman"/>
          <w:i/>
          <w:iCs/>
          <w:sz w:val="24"/>
          <w:szCs w:val="24"/>
        </w:rPr>
        <w:t>ArteStorie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, a cura di S. Bottai, S. Cecchini e N. Mandarano, Editore Cisalpino, Milano, 2016; 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</w:t>
      </w:r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Nuovi scenari per la cittadinanza del XXI secolo: le competenze di consapevolezza culturale e la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digital</w:t>
      </w:r>
      <w:proofErr w:type="spellEnd"/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sustainability</w:t>
      </w:r>
      <w:proofErr w:type="spellEnd"/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Didattica museale ed educazione al patrimonio per la scuola dell’innovazione</w:t>
      </w:r>
      <w:r w:rsidRPr="00DE5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r w:rsidRPr="00DE55F9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DE55F9">
        <w:rPr>
          <w:rFonts w:ascii="Times New Roman" w:hAnsi="Times New Roman" w:cs="Times New Roman"/>
          <w:sz w:val="24"/>
          <w:szCs w:val="24"/>
          <w:shd w:val="clear" w:color="auto" w:fill="FFFFFF"/>
        </w:rPr>
        <w:t>Scuola e Digitale</w:t>
      </w:r>
      <w:r w:rsidRPr="00DE55F9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DE5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Paradoxa</w:t>
      </w:r>
      <w:proofErr w:type="spellEnd"/>
      <w:r w:rsidRPr="00DE55F9">
        <w:rPr>
          <w:rFonts w:ascii="Times New Roman" w:hAnsi="Times New Roman" w:cs="Times New Roman"/>
          <w:sz w:val="24"/>
          <w:szCs w:val="24"/>
          <w:shd w:val="clear" w:color="auto" w:fill="FFFFFF"/>
        </w:rPr>
        <w:t>, 3, 2018, pp. 21-33.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</w:t>
      </w:r>
      <w:r w:rsidRPr="00DE55F9">
        <w:rPr>
          <w:rFonts w:ascii="Times New Roman" w:hAnsi="Times New Roman" w:cs="Times New Roman"/>
          <w:i/>
          <w:sz w:val="24"/>
          <w:szCs w:val="24"/>
        </w:rPr>
        <w:t>Un Van Gogh per Snoopy. Esperienza estetica, conoscenza, emozione</w:t>
      </w:r>
      <w:r w:rsidRPr="00DE55F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DE55F9">
        <w:rPr>
          <w:rFonts w:ascii="Times New Roman" w:hAnsi="Times New Roman" w:cs="Times New Roman"/>
          <w:sz w:val="24"/>
          <w:szCs w:val="24"/>
        </w:rPr>
        <w:t>Monnier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Università, Firenze, 2020.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Baldriga I., voce “Scuola”, </w:t>
      </w:r>
      <w:r w:rsidRPr="00DE55F9">
        <w:rPr>
          <w:rFonts w:ascii="Times New Roman" w:hAnsi="Times New Roman" w:cs="Times New Roman"/>
          <w:i/>
          <w:sz w:val="24"/>
          <w:szCs w:val="24"/>
        </w:rPr>
        <w:t>Enciclopedia Treccani dell’Arte Contemporanea</w:t>
      </w:r>
      <w:r w:rsidRPr="00DE55F9">
        <w:rPr>
          <w:rFonts w:ascii="Times New Roman" w:hAnsi="Times New Roman" w:cs="Times New Roman"/>
          <w:sz w:val="24"/>
          <w:szCs w:val="24"/>
        </w:rPr>
        <w:t>, a cura di V. Trione, in corso di pubblicazione.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Castiglioni B., </w:t>
      </w:r>
      <w:r w:rsidRPr="00DE55F9">
        <w:rPr>
          <w:rFonts w:ascii="Times New Roman" w:hAnsi="Times New Roman" w:cs="Times New Roman"/>
          <w:i/>
          <w:sz w:val="24"/>
          <w:szCs w:val="24"/>
        </w:rPr>
        <w:t xml:space="preserve">Educare al paesaggio, Traduzione Italiana del report </w:t>
      </w:r>
      <w:r w:rsidRPr="00DE55F9">
        <w:rPr>
          <w:rFonts w:ascii="Arial" w:hAnsi="Arial" w:cs="Arial"/>
          <w:i/>
          <w:sz w:val="24"/>
          <w:szCs w:val="24"/>
        </w:rPr>
        <w:t>«</w:t>
      </w:r>
      <w:r w:rsidRPr="00DE55F9">
        <w:rPr>
          <w:rFonts w:ascii="Times New Roman" w:hAnsi="Times New Roman" w:cs="Times New Roman"/>
          <w:i/>
          <w:sz w:val="24"/>
          <w:szCs w:val="24"/>
        </w:rPr>
        <w:t xml:space="preserve">Education an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</w:rPr>
        <w:t>Landscape</w:t>
      </w:r>
      <w:proofErr w:type="spellEnd"/>
      <w:r w:rsidRPr="00DE55F9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</w:rPr>
        <w:t>Children</w:t>
      </w:r>
      <w:proofErr w:type="spellEnd"/>
      <w:r w:rsidRPr="00DE55F9">
        <w:rPr>
          <w:rFonts w:ascii="Arial" w:hAnsi="Arial" w:cs="Arial"/>
          <w:i/>
          <w:sz w:val="24"/>
          <w:szCs w:val="24"/>
        </w:rPr>
        <w:t>»</w:t>
      </w:r>
      <w:r w:rsidRPr="00DE55F9">
        <w:rPr>
          <w:rFonts w:ascii="Times New Roman" w:hAnsi="Times New Roman" w:cs="Times New Roman"/>
          <w:i/>
          <w:sz w:val="24"/>
          <w:szCs w:val="24"/>
        </w:rPr>
        <w:t>, Consiglio d'Europa</w:t>
      </w:r>
      <w:r w:rsidRPr="00DE55F9">
        <w:rPr>
          <w:rFonts w:ascii="Times New Roman" w:hAnsi="Times New Roman" w:cs="Times New Roman"/>
          <w:sz w:val="24"/>
          <w:szCs w:val="24"/>
        </w:rPr>
        <w:t>, Museo di Storia Naturale e Archeologia, Montebelluna, 2010.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Dalai Emiliani M., </w:t>
      </w:r>
      <w:r w:rsidRPr="00DE55F9">
        <w:rPr>
          <w:rFonts w:ascii="Times New Roman" w:hAnsi="Times New Roman" w:cs="Times New Roman"/>
          <w:i/>
          <w:sz w:val="24"/>
          <w:szCs w:val="24"/>
        </w:rPr>
        <w:t>Per una storia dell’insegnamento di storia dell’arte in Italia</w:t>
      </w:r>
      <w:r w:rsidRPr="00DE55F9">
        <w:rPr>
          <w:rFonts w:ascii="Times New Roman" w:hAnsi="Times New Roman" w:cs="Times New Roman"/>
          <w:sz w:val="24"/>
          <w:szCs w:val="24"/>
        </w:rPr>
        <w:t xml:space="preserve">, in </w:t>
      </w:r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 xml:space="preserve">Il gusto dei Problemi: il manuale di Giulio </w:t>
      </w:r>
      <w:proofErr w:type="spellStart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>CarloArgan</w:t>
      </w:r>
      <w:proofErr w:type="spellEnd"/>
      <w:r w:rsidRPr="00DE55F9">
        <w:rPr>
          <w:rFonts w:ascii="Times New Roman" w:hAnsi="Times New Roman" w:cs="Times New Roman"/>
          <w:i/>
          <w:iCs/>
          <w:color w:val="1A1A18"/>
          <w:sz w:val="24"/>
          <w:szCs w:val="24"/>
        </w:rPr>
        <w:t xml:space="preserve"> e l’insegnamento della storia dell’arte nella scuola di oggi e di domani, </w:t>
      </w:r>
      <w:r w:rsidRPr="00DE55F9">
        <w:rPr>
          <w:rFonts w:ascii="Times New Roman" w:hAnsi="Times New Roman" w:cs="Times New Roman"/>
          <w:color w:val="1A1A18"/>
          <w:sz w:val="24"/>
          <w:szCs w:val="24"/>
        </w:rPr>
        <w:t>Convegno Internazionale, Roma, 18 febbraio 2010, a cura di I. Baldriga,  pp. 76-82</w:t>
      </w:r>
      <w:r w:rsidRPr="00DE55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2753" w:rsidRPr="00DE55F9" w:rsidRDefault="00B12753">
      <w:pPr>
        <w:rPr>
          <w:rStyle w:val="a-size-extra-large"/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Di Donato F., </w:t>
      </w:r>
      <w:r w:rsidRPr="00DE55F9">
        <w:rPr>
          <w:rStyle w:val="a-size-extra-large"/>
          <w:rFonts w:ascii="Times New Roman" w:hAnsi="Times New Roman" w:cs="Times New Roman"/>
          <w:i/>
          <w:sz w:val="24"/>
          <w:szCs w:val="24"/>
        </w:rPr>
        <w:t>La strategia di Lisbona nel campo dell'istruzione e della formazione</w:t>
      </w:r>
      <w:r w:rsidRPr="00DE55F9">
        <w:rPr>
          <w:rStyle w:val="a-size-extra-large"/>
          <w:rFonts w:ascii="Times New Roman" w:hAnsi="Times New Roman" w:cs="Times New Roman"/>
          <w:sz w:val="24"/>
          <w:szCs w:val="24"/>
        </w:rPr>
        <w:t>, Anicia, Roma, 2010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r w:rsidRPr="00DE55F9">
        <w:rPr>
          <w:rStyle w:val="main12"/>
          <w:rFonts w:ascii="Times New Roman" w:hAnsi="Times New Roman" w:cs="Times New Roman"/>
          <w:bCs/>
          <w:i/>
          <w:iCs/>
          <w:sz w:val="24"/>
          <w:szCs w:val="24"/>
        </w:rPr>
        <w:t>Ferretti M. (a cura di), La storia dell'arte nella scuola italiana. Storia, strumenti, prospettive</w:t>
      </w:r>
      <w:r w:rsidRPr="00DE55F9">
        <w:rPr>
          <w:rFonts w:ascii="Times New Roman" w:hAnsi="Times New Roman" w:cs="Times New Roman"/>
          <w:sz w:val="24"/>
          <w:szCs w:val="24"/>
        </w:rPr>
        <w:t xml:space="preserve">, </w:t>
      </w:r>
      <w:r w:rsidRPr="00DE55F9">
        <w:rPr>
          <w:rFonts w:ascii="Arial" w:hAnsi="Arial" w:cs="Arial"/>
          <w:sz w:val="24"/>
          <w:szCs w:val="24"/>
        </w:rPr>
        <w:t>«</w:t>
      </w:r>
      <w:r w:rsidRPr="00DE55F9">
        <w:rPr>
          <w:rFonts w:ascii="Times New Roman" w:hAnsi="Times New Roman" w:cs="Times New Roman"/>
          <w:sz w:val="24"/>
          <w:szCs w:val="24"/>
        </w:rPr>
        <w:t>Ricerche di Storia dell'arte</w:t>
      </w:r>
      <w:r w:rsidRPr="00DE55F9">
        <w:rPr>
          <w:rFonts w:ascii="Arial" w:hAnsi="Arial" w:cs="Arial"/>
          <w:sz w:val="24"/>
          <w:szCs w:val="24"/>
        </w:rPr>
        <w:t>»</w:t>
      </w:r>
      <w:r w:rsidRPr="00DE55F9">
        <w:rPr>
          <w:rFonts w:ascii="Times New Roman" w:hAnsi="Times New Roman" w:cs="Times New Roman"/>
          <w:sz w:val="24"/>
          <w:szCs w:val="24"/>
        </w:rPr>
        <w:t>, numero monografico, n. 79, 2003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55F9">
        <w:rPr>
          <w:rFonts w:ascii="Times New Roman" w:hAnsi="Times New Roman" w:cs="Times New Roman"/>
          <w:sz w:val="24"/>
          <w:szCs w:val="24"/>
        </w:rPr>
        <w:t>Foray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D., </w:t>
      </w:r>
      <w:r w:rsidRPr="00DE55F9">
        <w:rPr>
          <w:rFonts w:ascii="Times New Roman" w:hAnsi="Times New Roman" w:cs="Times New Roman"/>
          <w:i/>
          <w:sz w:val="24"/>
          <w:szCs w:val="24"/>
        </w:rPr>
        <w:t>L’economia della conoscenza</w:t>
      </w:r>
      <w:r w:rsidRPr="00DE55F9">
        <w:rPr>
          <w:rFonts w:ascii="Times New Roman" w:hAnsi="Times New Roman" w:cs="Times New Roman"/>
          <w:sz w:val="24"/>
          <w:szCs w:val="24"/>
        </w:rPr>
        <w:t>, Il Mulino, Bologna, 2006.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Ghirardi A. et al.,  </w:t>
      </w:r>
      <w:r w:rsidRPr="00DE55F9">
        <w:rPr>
          <w:rFonts w:ascii="Times New Roman" w:hAnsi="Times New Roman" w:cs="Times New Roman"/>
          <w:i/>
          <w:sz w:val="24"/>
          <w:szCs w:val="24"/>
        </w:rPr>
        <w:t>Insegnare la storia dell’arte</w:t>
      </w:r>
      <w:r w:rsidRPr="00DE55F9">
        <w:rPr>
          <w:rFonts w:ascii="Times New Roman" w:hAnsi="Times New Roman" w:cs="Times New Roman"/>
          <w:sz w:val="24"/>
          <w:szCs w:val="24"/>
        </w:rPr>
        <w:t xml:space="preserve">, CLUEB, Bologna, 2009 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Lelli L., Serio N., (a cura di), </w:t>
      </w:r>
      <w:r w:rsidRPr="00DE55F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Dai programmi didattici alle indicazioni nazionali : fondamenti e linee di sviluppo</w:t>
      </w:r>
      <w:r w:rsidRPr="00DE55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in </w:t>
      </w:r>
      <w:r w:rsidRPr="00DE55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Progettazione curricolare e didattica delle discipline</w:t>
      </w:r>
      <w:r w:rsidRPr="00DE55F9">
        <w:rPr>
          <w:rFonts w:ascii="Times New Roman" w:hAnsi="Times New Roman" w:cs="Times New Roman"/>
          <w:sz w:val="24"/>
          <w:szCs w:val="24"/>
          <w:shd w:val="clear" w:color="auto" w:fill="FFFFFF"/>
        </w:rPr>
        <w:t>, Armando Editore, Roma, 2012, pp. 15-32.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</w:p>
    <w:p w:rsidR="00B12753" w:rsidRPr="00DE55F9" w:rsidRDefault="00B12753">
      <w:pPr>
        <w:rPr>
          <w:rStyle w:val="Collegamentoipertestuale"/>
          <w:rFonts w:ascii="Times New Roman" w:hAnsi="Times New Roman" w:cs="Times New Roman"/>
          <w:b/>
          <w:sz w:val="24"/>
          <w:szCs w:val="24"/>
          <w:lang w:val="en-US"/>
        </w:rPr>
      </w:pP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Lewis S., </w:t>
      </w:r>
      <w:proofErr w:type="spellStart"/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Respatialising</w:t>
      </w:r>
      <w:proofErr w:type="spellEnd"/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Global Educational Governance Through PISA for Schools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, Springer, Singapore, 2020; 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Education at a glance 2020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 (OCSE), </w:t>
      </w:r>
      <w:hyperlink r:id="rId5" w:history="1">
        <w:r w:rsidRPr="00DE55F9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https://www.oecd.org/education/education-at-a-glance/</w:t>
        </w:r>
      </w:hyperlink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Naidu S., </w:t>
      </w:r>
      <w:r w:rsidRPr="00DE55F9">
        <w:rPr>
          <w:rFonts w:ascii="Times New Roman" w:hAnsi="Times New Roman" w:cs="Times New Roman"/>
          <w:bCs/>
          <w:i/>
          <w:color w:val="333333"/>
          <w:sz w:val="24"/>
          <w:szCs w:val="24"/>
          <w:lang w:val="en-US"/>
        </w:rPr>
        <w:t>Building resilience in education systems post-COVID-19.</w:t>
      </w:r>
      <w:r w:rsidRPr="00DE55F9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Building resilience in education systems post-COVID-19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DE55F9">
        <w:rPr>
          <w:rFonts w:ascii="Arial" w:hAnsi="Arial" w:cs="Arial"/>
          <w:sz w:val="24"/>
          <w:szCs w:val="24"/>
          <w:lang w:val="en-US"/>
        </w:rPr>
        <w:t>«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>Distance Education</w:t>
      </w:r>
      <w:r w:rsidRPr="00DE55F9">
        <w:rPr>
          <w:rFonts w:ascii="Arial" w:hAnsi="Arial" w:cs="Arial"/>
          <w:sz w:val="24"/>
          <w:szCs w:val="24"/>
          <w:lang w:val="en-US"/>
        </w:rPr>
        <w:t>»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>, 42, 1, 2021, pp. 1-4.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55F9">
        <w:rPr>
          <w:rFonts w:ascii="Times New Roman" w:hAnsi="Times New Roman" w:cs="Times New Roman"/>
          <w:sz w:val="24"/>
          <w:szCs w:val="24"/>
          <w:lang w:val="en-US"/>
        </w:rPr>
        <w:t>Niemann</w:t>
      </w:r>
      <w:proofErr w:type="spellEnd"/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 D. et al., 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PISA and its consequences: Shaping education policies through international comparisons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DE55F9">
        <w:rPr>
          <w:rFonts w:ascii="Arial" w:hAnsi="Arial" w:cs="Arial"/>
          <w:sz w:val="24"/>
          <w:szCs w:val="24"/>
          <w:lang w:val="en-US"/>
        </w:rPr>
        <w:t>«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European Journal of Education</w:t>
      </w:r>
      <w:r w:rsidRPr="00DE55F9">
        <w:rPr>
          <w:rFonts w:ascii="Arial" w:hAnsi="Arial" w:cs="Arial"/>
          <w:i/>
          <w:sz w:val="24"/>
          <w:szCs w:val="24"/>
          <w:lang w:val="en-US"/>
        </w:rPr>
        <w:t>»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>, 52, 5, 2017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55F9">
        <w:rPr>
          <w:rFonts w:ascii="Times New Roman" w:hAnsi="Times New Roman" w:cs="Times New Roman"/>
          <w:sz w:val="24"/>
          <w:szCs w:val="24"/>
        </w:rPr>
        <w:t>Thiery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A., </w:t>
      </w:r>
      <w:r w:rsidRPr="00DE55F9">
        <w:rPr>
          <w:rFonts w:ascii="Times New Roman" w:hAnsi="Times New Roman" w:cs="Times New Roman"/>
          <w:i/>
          <w:sz w:val="24"/>
          <w:szCs w:val="24"/>
        </w:rPr>
        <w:t>Esperienza e conoscenza delle arti</w:t>
      </w:r>
      <w:r w:rsidRPr="00DE55F9">
        <w:rPr>
          <w:rFonts w:ascii="Times New Roman" w:hAnsi="Times New Roman" w:cs="Times New Roman"/>
          <w:sz w:val="24"/>
          <w:szCs w:val="24"/>
        </w:rPr>
        <w:t xml:space="preserve">, in </w:t>
      </w:r>
      <w:r w:rsidRPr="00DE55F9">
        <w:rPr>
          <w:rFonts w:ascii="Times New Roman" w:hAnsi="Times New Roman" w:cs="Times New Roman"/>
          <w:i/>
          <w:sz w:val="24"/>
          <w:szCs w:val="24"/>
        </w:rPr>
        <w:t>Quale cultura per la nuova scuola secondaria</w:t>
      </w:r>
      <w:r w:rsidRPr="00DE55F9">
        <w:rPr>
          <w:rFonts w:ascii="Times New Roman" w:hAnsi="Times New Roman" w:cs="Times New Roman"/>
          <w:sz w:val="24"/>
          <w:szCs w:val="24"/>
        </w:rPr>
        <w:t>, a cura di C. Pontecorvo, La Nuova Italia editrice, Firenze, 1980.</w:t>
      </w:r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proofErr w:type="spellStart"/>
      <w:r w:rsidRPr="00DE55F9">
        <w:rPr>
          <w:rFonts w:ascii="Times New Roman" w:hAnsi="Times New Roman" w:cs="Times New Roman"/>
          <w:sz w:val="24"/>
          <w:szCs w:val="24"/>
        </w:rPr>
        <w:t>Veratelli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F.,  </w:t>
      </w:r>
      <w:proofErr w:type="spellStart"/>
      <w:r w:rsidRPr="00DE55F9">
        <w:rPr>
          <w:rFonts w:ascii="Times New Roman" w:hAnsi="Times New Roman" w:cs="Times New Roman"/>
          <w:sz w:val="24"/>
          <w:szCs w:val="24"/>
        </w:rPr>
        <w:t>Habcy</w:t>
      </w:r>
      <w:proofErr w:type="spellEnd"/>
      <w:r w:rsidRPr="00DE55F9">
        <w:rPr>
          <w:rFonts w:ascii="Times New Roman" w:hAnsi="Times New Roman" w:cs="Times New Roman"/>
          <w:sz w:val="24"/>
          <w:szCs w:val="24"/>
        </w:rPr>
        <w:t xml:space="preserve"> J., </w:t>
      </w:r>
      <w:r w:rsidRPr="00DE55F9">
        <w:rPr>
          <w:rFonts w:ascii="Times New Roman" w:hAnsi="Times New Roman" w:cs="Times New Roman"/>
          <w:i/>
          <w:sz w:val="24"/>
          <w:szCs w:val="24"/>
        </w:rPr>
        <w:t>Didattica della storia dell’arte</w:t>
      </w:r>
      <w:r w:rsidRPr="00DE55F9">
        <w:rPr>
          <w:rFonts w:ascii="Times New Roman" w:hAnsi="Times New Roman" w:cs="Times New Roman"/>
          <w:sz w:val="24"/>
          <w:szCs w:val="24"/>
        </w:rPr>
        <w:t>, Mondadori University, Milano, 2020</w:t>
      </w:r>
    </w:p>
    <w:p w:rsidR="00B12753" w:rsidRPr="00DE55F9" w:rsidRDefault="00B127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West M.R.,  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Education and Global Competitiveness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, in K. </w:t>
      </w:r>
      <w:proofErr w:type="spellStart"/>
      <w:r w:rsidRPr="00DE55F9">
        <w:rPr>
          <w:rFonts w:ascii="Times New Roman" w:hAnsi="Times New Roman" w:cs="Times New Roman"/>
          <w:sz w:val="24"/>
          <w:szCs w:val="24"/>
          <w:lang w:val="en-US"/>
        </w:rPr>
        <w:t>Hassett</w:t>
      </w:r>
      <w:proofErr w:type="spellEnd"/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 (a </w:t>
      </w:r>
      <w:proofErr w:type="spellStart"/>
      <w:r w:rsidRPr="00DE55F9">
        <w:rPr>
          <w:rFonts w:ascii="Times New Roman" w:hAnsi="Times New Roman" w:cs="Times New Roman"/>
          <w:sz w:val="24"/>
          <w:szCs w:val="24"/>
          <w:lang w:val="en-US"/>
        </w:rPr>
        <w:t>cura</w:t>
      </w:r>
      <w:proofErr w:type="spellEnd"/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 di),  </w:t>
      </w:r>
      <w:r w:rsidRPr="00DE55F9">
        <w:rPr>
          <w:rFonts w:ascii="Times New Roman" w:hAnsi="Times New Roman" w:cs="Times New Roman"/>
          <w:i/>
          <w:sz w:val="24"/>
          <w:szCs w:val="24"/>
          <w:lang w:val="en-US"/>
        </w:rPr>
        <w:t>Rethinking Competitiveness. American Enterprise Institute Press</w:t>
      </w:r>
      <w:r w:rsidRPr="00DE55F9">
        <w:rPr>
          <w:rFonts w:ascii="Times New Roman" w:hAnsi="Times New Roman" w:cs="Times New Roman"/>
          <w:sz w:val="24"/>
          <w:szCs w:val="24"/>
          <w:lang w:val="en-US"/>
        </w:rPr>
        <w:t xml:space="preserve">, Washington DC,  2012, </w:t>
      </w:r>
      <w:hyperlink r:id="rId6" w:history="1">
        <w:r w:rsidRPr="00DE55F9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https://dash.harvard.edu/handle/1/9544459</w:t>
        </w:r>
      </w:hyperlink>
    </w:p>
    <w:p w:rsidR="00B12753" w:rsidRPr="00DE55F9" w:rsidRDefault="00B12753" w:rsidP="006E5707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DE55F9">
        <w:rPr>
          <w:rFonts w:ascii="Times New Roman" w:hAnsi="Times New Roman" w:cs="Times New Roman"/>
          <w:sz w:val="24"/>
          <w:szCs w:val="24"/>
        </w:rPr>
        <w:t xml:space="preserve">Zuccoli F., </w:t>
      </w:r>
      <w:r w:rsidRPr="00DE55F9">
        <w:rPr>
          <w:rFonts w:ascii="Times New Roman" w:hAnsi="Times New Roman" w:cs="Times New Roman"/>
          <w:i/>
          <w:sz w:val="24"/>
          <w:szCs w:val="24"/>
        </w:rPr>
        <w:t>Didattica dell’arte. Riflessioni e percorsi</w:t>
      </w:r>
      <w:r w:rsidRPr="00DE55F9">
        <w:rPr>
          <w:rFonts w:ascii="Times New Roman" w:hAnsi="Times New Roman" w:cs="Times New Roman"/>
          <w:sz w:val="24"/>
          <w:szCs w:val="24"/>
        </w:rPr>
        <w:t>, Franco Angeli, Milano, 2020.</w:t>
      </w:r>
    </w:p>
    <w:p w:rsidR="006E5707" w:rsidRPr="00DE55F9" w:rsidRDefault="006E5707">
      <w:pPr>
        <w:rPr>
          <w:sz w:val="24"/>
          <w:szCs w:val="24"/>
        </w:rPr>
      </w:pPr>
    </w:p>
    <w:sectPr w:rsidR="006E5707" w:rsidRPr="00DE5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79"/>
    <w:rsid w:val="00022BDE"/>
    <w:rsid w:val="00180897"/>
    <w:rsid w:val="004633E6"/>
    <w:rsid w:val="006933B6"/>
    <w:rsid w:val="006E5707"/>
    <w:rsid w:val="007E7CA8"/>
    <w:rsid w:val="008849C8"/>
    <w:rsid w:val="00B12753"/>
    <w:rsid w:val="00B857A7"/>
    <w:rsid w:val="00C725A7"/>
    <w:rsid w:val="00CB5B79"/>
    <w:rsid w:val="00DE55F9"/>
    <w:rsid w:val="00F7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-size-extra-large">
    <w:name w:val="a-size-extra-large"/>
    <w:basedOn w:val="Carpredefinitoparagrafo"/>
    <w:rsid w:val="00180897"/>
  </w:style>
  <w:style w:type="character" w:styleId="Collegamentoipertestuale">
    <w:name w:val="Hyperlink"/>
    <w:basedOn w:val="Carpredefinitoparagrafo"/>
    <w:uiPriority w:val="99"/>
    <w:unhideWhenUsed/>
    <w:rsid w:val="00180897"/>
    <w:rPr>
      <w:color w:val="0000FF" w:themeColor="hyperlink"/>
      <w:u w:val="single"/>
    </w:rPr>
  </w:style>
  <w:style w:type="character" w:customStyle="1" w:styleId="main12">
    <w:name w:val="main12"/>
    <w:basedOn w:val="Carpredefinitoparagrafo"/>
    <w:rsid w:val="006E570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7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7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-size-extra-large">
    <w:name w:val="a-size-extra-large"/>
    <w:basedOn w:val="Carpredefinitoparagrafo"/>
    <w:rsid w:val="00180897"/>
  </w:style>
  <w:style w:type="character" w:styleId="Collegamentoipertestuale">
    <w:name w:val="Hyperlink"/>
    <w:basedOn w:val="Carpredefinitoparagrafo"/>
    <w:uiPriority w:val="99"/>
    <w:unhideWhenUsed/>
    <w:rsid w:val="00180897"/>
    <w:rPr>
      <w:color w:val="0000FF" w:themeColor="hyperlink"/>
      <w:u w:val="single"/>
    </w:rPr>
  </w:style>
  <w:style w:type="character" w:customStyle="1" w:styleId="main12">
    <w:name w:val="main12"/>
    <w:basedOn w:val="Carpredefinitoparagrafo"/>
    <w:rsid w:val="006E570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7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7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sh.harvard.edu/handle/1/9544459" TargetMode="External"/><Relationship Id="rId5" Type="http://schemas.openxmlformats.org/officeDocument/2006/relationships/hyperlink" Target="https://www.oecd.org/education/education-at-a-gl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8</cp:revision>
  <dcterms:created xsi:type="dcterms:W3CDTF">2021-06-16T12:30:00Z</dcterms:created>
  <dcterms:modified xsi:type="dcterms:W3CDTF">2021-06-18T09:02:00Z</dcterms:modified>
</cp:coreProperties>
</file>