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59ECB" w14:textId="10D96404" w:rsidR="00411AC2" w:rsidRPr="00FB3143" w:rsidRDefault="007F2BA1" w:rsidP="00097147">
      <w:pPr>
        <w:spacing w:after="0"/>
        <w:jc w:val="both"/>
        <w:rPr>
          <w:b/>
          <w:sz w:val="24"/>
          <w:szCs w:val="24"/>
        </w:rPr>
      </w:pPr>
      <w:r w:rsidRPr="00FB3143">
        <w:rPr>
          <w:b/>
          <w:sz w:val="24"/>
          <w:szCs w:val="24"/>
        </w:rPr>
        <w:t xml:space="preserve">L’ACCESSO APERTO ALLA LETTERATURA SCIENTIFICA: </w:t>
      </w:r>
      <w:r w:rsidR="00411AC2" w:rsidRPr="00FB3143">
        <w:rPr>
          <w:b/>
          <w:sz w:val="24"/>
          <w:szCs w:val="24"/>
        </w:rPr>
        <w:t>UN’ANALISI MULTILIVELLO</w:t>
      </w:r>
    </w:p>
    <w:p w14:paraId="1CB47598" w14:textId="77777777" w:rsidR="00097147" w:rsidRPr="00FB3143" w:rsidRDefault="00097147" w:rsidP="00097147">
      <w:pPr>
        <w:pStyle w:val="NormaleWeb"/>
        <w:spacing w:before="0" w:beforeAutospacing="0" w:after="0" w:afterAutospacing="0"/>
        <w:rPr>
          <w:rFonts w:asciiTheme="minorHAnsi" w:eastAsiaTheme="minorHAnsi" w:hAnsiTheme="minorHAnsi" w:cstheme="minorBidi"/>
          <w:b/>
          <w:i/>
          <w:caps/>
          <w:lang w:val="en-GB" w:eastAsia="en-US"/>
        </w:rPr>
      </w:pPr>
    </w:p>
    <w:p w14:paraId="3BB17542" w14:textId="77777777" w:rsidR="00097147" w:rsidRPr="00FB3143" w:rsidRDefault="00097147" w:rsidP="00097147">
      <w:pPr>
        <w:pStyle w:val="NormaleWeb"/>
        <w:spacing w:before="0" w:beforeAutospacing="0" w:after="0" w:afterAutospacing="0"/>
        <w:rPr>
          <w:rFonts w:asciiTheme="minorHAnsi" w:eastAsiaTheme="minorHAnsi" w:hAnsiTheme="minorHAnsi" w:cstheme="minorBidi"/>
          <w:b/>
          <w:i/>
          <w:caps/>
          <w:lang w:val="en-GB" w:eastAsia="en-US"/>
        </w:rPr>
      </w:pPr>
      <w:r w:rsidRPr="00FB3143">
        <w:rPr>
          <w:rFonts w:asciiTheme="minorHAnsi" w:eastAsiaTheme="minorHAnsi" w:hAnsiTheme="minorHAnsi" w:cstheme="minorBidi"/>
          <w:b/>
          <w:i/>
          <w:caps/>
          <w:lang w:val="en-GB" w:eastAsia="en-US"/>
        </w:rPr>
        <w:t>Open access to scientific literature: a multilevel analysis</w:t>
      </w:r>
    </w:p>
    <w:p w14:paraId="620B73ED" w14:textId="77777777" w:rsidR="00097147" w:rsidRPr="00FB3143" w:rsidRDefault="00097147" w:rsidP="00097147">
      <w:pPr>
        <w:spacing w:after="0"/>
        <w:jc w:val="both"/>
        <w:rPr>
          <w:b/>
          <w:sz w:val="24"/>
          <w:szCs w:val="24"/>
          <w:lang w:val="en-GB"/>
        </w:rPr>
      </w:pPr>
    </w:p>
    <w:p w14:paraId="135CBA19" w14:textId="77777777" w:rsidR="003F2226" w:rsidRPr="00FB3143" w:rsidRDefault="00A0289D" w:rsidP="00A0289D">
      <w:pPr>
        <w:autoSpaceDE w:val="0"/>
        <w:autoSpaceDN w:val="0"/>
        <w:adjustRightInd w:val="0"/>
        <w:spacing w:after="0" w:line="240" w:lineRule="auto"/>
        <w:rPr>
          <w:b/>
          <w:sz w:val="24"/>
          <w:szCs w:val="24"/>
        </w:rPr>
      </w:pPr>
      <w:r w:rsidRPr="00FB3143">
        <w:rPr>
          <w:b/>
          <w:sz w:val="24"/>
          <w:szCs w:val="24"/>
        </w:rPr>
        <w:t>Elisabetta Michetti</w:t>
      </w:r>
      <w:r w:rsidR="003F2226" w:rsidRPr="00FB3143">
        <w:rPr>
          <w:b/>
          <w:sz w:val="24"/>
          <w:szCs w:val="24"/>
        </w:rPr>
        <w:t>*</w:t>
      </w:r>
      <w:r w:rsidRPr="00FB3143">
        <w:rPr>
          <w:b/>
          <w:sz w:val="24"/>
          <w:szCs w:val="24"/>
        </w:rPr>
        <w:t xml:space="preserve"> </w:t>
      </w:r>
    </w:p>
    <w:p w14:paraId="675C11F8" w14:textId="0B1DFD7F" w:rsidR="00FF6DF0" w:rsidRPr="00FB3143" w:rsidRDefault="003F2226" w:rsidP="00DA6691">
      <w:pPr>
        <w:autoSpaceDE w:val="0"/>
        <w:autoSpaceDN w:val="0"/>
        <w:adjustRightInd w:val="0"/>
        <w:spacing w:after="0" w:line="240" w:lineRule="auto"/>
        <w:jc w:val="both"/>
        <w:rPr>
          <w:sz w:val="24"/>
          <w:szCs w:val="24"/>
        </w:rPr>
      </w:pPr>
      <w:r w:rsidRPr="00FB3143">
        <w:rPr>
          <w:sz w:val="24"/>
          <w:szCs w:val="24"/>
        </w:rPr>
        <w:t>Associata di Metodi Matematici dell’Economia e delle Sc</w:t>
      </w:r>
      <w:r w:rsidR="00FF6DF0" w:rsidRPr="00FB3143">
        <w:rPr>
          <w:sz w:val="24"/>
          <w:szCs w:val="24"/>
        </w:rPr>
        <w:t xml:space="preserve">ienze Attuariali e Finanziarie e </w:t>
      </w:r>
      <w:r w:rsidRPr="00FB3143">
        <w:rPr>
          <w:sz w:val="24"/>
          <w:szCs w:val="24"/>
        </w:rPr>
        <w:t xml:space="preserve">Delegata del Rettore per il </w:t>
      </w:r>
      <w:r w:rsidR="00FF6DF0" w:rsidRPr="00FB3143">
        <w:rPr>
          <w:sz w:val="24"/>
          <w:szCs w:val="24"/>
        </w:rPr>
        <w:t>Sistema Bibliotecario d’Ateneo</w:t>
      </w:r>
      <w:r w:rsidR="00021F1A">
        <w:rPr>
          <w:sz w:val="24"/>
          <w:szCs w:val="24"/>
        </w:rPr>
        <w:t>.</w:t>
      </w:r>
    </w:p>
    <w:p w14:paraId="522A3C79" w14:textId="77777777" w:rsidR="00A0289D" w:rsidRPr="00FB3143" w:rsidRDefault="003F2226" w:rsidP="00DA6691">
      <w:pPr>
        <w:autoSpaceDE w:val="0"/>
        <w:autoSpaceDN w:val="0"/>
        <w:adjustRightInd w:val="0"/>
        <w:spacing w:after="0" w:line="240" w:lineRule="auto"/>
        <w:jc w:val="both"/>
        <w:rPr>
          <w:b/>
          <w:sz w:val="24"/>
          <w:szCs w:val="24"/>
        </w:rPr>
      </w:pPr>
      <w:r w:rsidRPr="00FB3143">
        <w:rPr>
          <w:sz w:val="24"/>
          <w:szCs w:val="24"/>
        </w:rPr>
        <w:t xml:space="preserve">Università degli studi di Macerata, Dipartimento di Economia e Diritto, via </w:t>
      </w:r>
      <w:proofErr w:type="spellStart"/>
      <w:r w:rsidRPr="00FB3143">
        <w:rPr>
          <w:sz w:val="24"/>
          <w:szCs w:val="24"/>
        </w:rPr>
        <w:t>Crescimbeni</w:t>
      </w:r>
      <w:proofErr w:type="spellEnd"/>
      <w:r w:rsidRPr="00FB3143">
        <w:rPr>
          <w:sz w:val="24"/>
          <w:szCs w:val="24"/>
        </w:rPr>
        <w:t xml:space="preserve"> 14, Macerata, email: </w:t>
      </w:r>
      <w:hyperlink r:id="rId8" w:history="1">
        <w:r w:rsidRPr="00FB3143">
          <w:rPr>
            <w:rStyle w:val="Collegamentoipertestuale"/>
            <w:sz w:val="24"/>
            <w:szCs w:val="24"/>
          </w:rPr>
          <w:t>elisabetta.michetti@unimc.it</w:t>
        </w:r>
      </w:hyperlink>
      <w:r w:rsidRPr="00FB3143">
        <w:rPr>
          <w:sz w:val="24"/>
          <w:szCs w:val="24"/>
        </w:rPr>
        <w:t>.</w:t>
      </w:r>
    </w:p>
    <w:p w14:paraId="395EBE95" w14:textId="37A93967" w:rsidR="00A0289D" w:rsidRPr="00FB3143" w:rsidRDefault="003F2226" w:rsidP="00DA6691">
      <w:pPr>
        <w:autoSpaceDE w:val="0"/>
        <w:autoSpaceDN w:val="0"/>
        <w:adjustRightInd w:val="0"/>
        <w:spacing w:after="0" w:line="240" w:lineRule="auto"/>
        <w:jc w:val="both"/>
        <w:rPr>
          <w:sz w:val="24"/>
          <w:szCs w:val="24"/>
        </w:rPr>
      </w:pPr>
      <w:r w:rsidRPr="00FB3143">
        <w:rPr>
          <w:b/>
          <w:sz w:val="24"/>
          <w:szCs w:val="24"/>
        </w:rPr>
        <w:t>*</w:t>
      </w:r>
      <w:r w:rsidR="00A0289D" w:rsidRPr="00FB3143">
        <w:rPr>
          <w:sz w:val="24"/>
          <w:szCs w:val="24"/>
        </w:rPr>
        <w:t>relatrice al Convegno “La sostenibilità e la valutazione delle riviste scien</w:t>
      </w:r>
      <w:r w:rsidRPr="00FB3143">
        <w:rPr>
          <w:sz w:val="24"/>
          <w:szCs w:val="24"/>
        </w:rPr>
        <w:t xml:space="preserve">tifiche italiane in ambito SSH”, Università </w:t>
      </w:r>
      <w:r w:rsidR="008E716A" w:rsidRPr="00FB3143">
        <w:rPr>
          <w:sz w:val="24"/>
          <w:szCs w:val="24"/>
        </w:rPr>
        <w:t xml:space="preserve">degli studi </w:t>
      </w:r>
      <w:r w:rsidRPr="00FB3143">
        <w:rPr>
          <w:sz w:val="24"/>
          <w:szCs w:val="24"/>
        </w:rPr>
        <w:t>di Macerata, 23 novembre 2017.</w:t>
      </w:r>
      <w:r w:rsidR="00A0289D" w:rsidRPr="00FB3143">
        <w:rPr>
          <w:sz w:val="24"/>
          <w:szCs w:val="24"/>
        </w:rPr>
        <w:t xml:space="preserve"> </w:t>
      </w:r>
    </w:p>
    <w:p w14:paraId="02C21EB1" w14:textId="77777777" w:rsidR="00A0289D" w:rsidRPr="00FB3143" w:rsidRDefault="00A0289D" w:rsidP="00DA6691">
      <w:pPr>
        <w:autoSpaceDE w:val="0"/>
        <w:autoSpaceDN w:val="0"/>
        <w:adjustRightInd w:val="0"/>
        <w:spacing w:after="0" w:line="240" w:lineRule="auto"/>
        <w:jc w:val="both"/>
        <w:rPr>
          <w:b/>
          <w:sz w:val="24"/>
          <w:szCs w:val="24"/>
        </w:rPr>
      </w:pPr>
    </w:p>
    <w:p w14:paraId="6C20277E" w14:textId="77777777" w:rsidR="00DA6691" w:rsidRPr="00FB3143" w:rsidRDefault="00A0289D" w:rsidP="00DA6691">
      <w:pPr>
        <w:autoSpaceDE w:val="0"/>
        <w:autoSpaceDN w:val="0"/>
        <w:adjustRightInd w:val="0"/>
        <w:spacing w:after="0" w:line="240" w:lineRule="auto"/>
        <w:jc w:val="both"/>
        <w:rPr>
          <w:b/>
          <w:sz w:val="24"/>
          <w:szCs w:val="24"/>
        </w:rPr>
      </w:pPr>
      <w:r w:rsidRPr="00FB3143">
        <w:rPr>
          <w:b/>
          <w:sz w:val="24"/>
          <w:szCs w:val="24"/>
        </w:rPr>
        <w:t>Concetta Lovascio</w:t>
      </w:r>
    </w:p>
    <w:p w14:paraId="2897F9A6" w14:textId="77777777" w:rsidR="00DA6691" w:rsidRPr="00FB3143" w:rsidRDefault="00DA6691" w:rsidP="00DA6691">
      <w:pPr>
        <w:autoSpaceDE w:val="0"/>
        <w:autoSpaceDN w:val="0"/>
        <w:adjustRightInd w:val="0"/>
        <w:spacing w:after="0" w:line="240" w:lineRule="auto"/>
        <w:jc w:val="both"/>
        <w:rPr>
          <w:sz w:val="24"/>
          <w:szCs w:val="24"/>
        </w:rPr>
      </w:pPr>
      <w:r w:rsidRPr="00FB3143">
        <w:rPr>
          <w:sz w:val="24"/>
          <w:szCs w:val="24"/>
        </w:rPr>
        <w:t>Bibliotecaria, responsabile dell’Ufficio per la gestione biblioteca digitale e servizi al pubblico.</w:t>
      </w:r>
    </w:p>
    <w:p w14:paraId="69511CDC" w14:textId="639C1F92" w:rsidR="00DA6691" w:rsidRPr="00FB3143" w:rsidRDefault="00DA6691" w:rsidP="00DA6691">
      <w:pPr>
        <w:autoSpaceDE w:val="0"/>
        <w:autoSpaceDN w:val="0"/>
        <w:adjustRightInd w:val="0"/>
        <w:spacing w:after="0" w:line="240" w:lineRule="auto"/>
        <w:jc w:val="both"/>
        <w:rPr>
          <w:sz w:val="24"/>
          <w:szCs w:val="24"/>
        </w:rPr>
      </w:pPr>
      <w:r w:rsidRPr="00FB3143">
        <w:rPr>
          <w:sz w:val="24"/>
          <w:szCs w:val="24"/>
        </w:rPr>
        <w:t>Università degli studi di Macerata, Centro d’Ateneo per i Servizi Bibliotecari (CASB), piazza G. Oberdan, 4, Macerata, email: concetta.lovascio@unimc.it</w:t>
      </w:r>
    </w:p>
    <w:p w14:paraId="40DEF49A" w14:textId="77777777" w:rsidR="00DA6691" w:rsidRPr="00FB3143" w:rsidRDefault="00DA6691" w:rsidP="00A0289D">
      <w:pPr>
        <w:autoSpaceDE w:val="0"/>
        <w:autoSpaceDN w:val="0"/>
        <w:adjustRightInd w:val="0"/>
        <w:spacing w:after="0" w:line="240" w:lineRule="auto"/>
        <w:rPr>
          <w:b/>
          <w:sz w:val="24"/>
          <w:szCs w:val="24"/>
        </w:rPr>
      </w:pPr>
    </w:p>
    <w:p w14:paraId="445A9DD9" w14:textId="77777777" w:rsidR="003F2226" w:rsidRPr="00FB3143" w:rsidRDefault="00A0289D" w:rsidP="00A0289D">
      <w:pPr>
        <w:autoSpaceDE w:val="0"/>
        <w:autoSpaceDN w:val="0"/>
        <w:adjustRightInd w:val="0"/>
        <w:spacing w:after="0" w:line="240" w:lineRule="auto"/>
        <w:rPr>
          <w:b/>
          <w:sz w:val="24"/>
          <w:szCs w:val="24"/>
        </w:rPr>
      </w:pPr>
      <w:r w:rsidRPr="00FB3143">
        <w:rPr>
          <w:b/>
          <w:sz w:val="24"/>
          <w:szCs w:val="24"/>
        </w:rPr>
        <w:t xml:space="preserve">Sara Morici </w:t>
      </w:r>
    </w:p>
    <w:p w14:paraId="06CF8334" w14:textId="4F229DCC" w:rsidR="00BA029A" w:rsidRPr="00FB3143" w:rsidRDefault="00BA029A" w:rsidP="003F2226">
      <w:pPr>
        <w:autoSpaceDE w:val="0"/>
        <w:autoSpaceDN w:val="0"/>
        <w:adjustRightInd w:val="0"/>
        <w:spacing w:after="0" w:line="240" w:lineRule="auto"/>
        <w:rPr>
          <w:sz w:val="24"/>
          <w:szCs w:val="24"/>
        </w:rPr>
      </w:pPr>
      <w:r w:rsidRPr="00FB3143">
        <w:rPr>
          <w:sz w:val="24"/>
          <w:szCs w:val="24"/>
        </w:rPr>
        <w:t xml:space="preserve">Bibliotecaria, responsabile dell’Ufficio Servizi </w:t>
      </w:r>
      <w:proofErr w:type="spellStart"/>
      <w:r w:rsidRPr="00FB3143">
        <w:rPr>
          <w:sz w:val="24"/>
          <w:szCs w:val="24"/>
        </w:rPr>
        <w:t>Bibliotecnici</w:t>
      </w:r>
      <w:proofErr w:type="spellEnd"/>
      <w:r w:rsidRPr="00FB3143">
        <w:rPr>
          <w:sz w:val="24"/>
          <w:szCs w:val="24"/>
        </w:rPr>
        <w:t xml:space="preserve">. </w:t>
      </w:r>
    </w:p>
    <w:p w14:paraId="636668DE" w14:textId="03B11DEB" w:rsidR="003F2226" w:rsidRPr="00FB3143" w:rsidRDefault="00BA029A" w:rsidP="003F2226">
      <w:pPr>
        <w:autoSpaceDE w:val="0"/>
        <w:autoSpaceDN w:val="0"/>
        <w:adjustRightInd w:val="0"/>
        <w:spacing w:after="0" w:line="240" w:lineRule="auto"/>
        <w:rPr>
          <w:b/>
          <w:sz w:val="24"/>
          <w:szCs w:val="24"/>
        </w:rPr>
      </w:pPr>
      <w:r w:rsidRPr="00FB3143">
        <w:rPr>
          <w:sz w:val="24"/>
          <w:szCs w:val="24"/>
        </w:rPr>
        <w:t xml:space="preserve">Università degli studi di Macerata, Centro d’Ateneo per i Servizi Bibliotecari (CASB), piazza G. Oberdan, </w:t>
      </w:r>
      <w:proofErr w:type="gramStart"/>
      <w:r w:rsidRPr="00FB3143">
        <w:rPr>
          <w:sz w:val="24"/>
          <w:szCs w:val="24"/>
        </w:rPr>
        <w:t>4,  Macerata</w:t>
      </w:r>
      <w:proofErr w:type="gramEnd"/>
      <w:r w:rsidRPr="00FB3143">
        <w:rPr>
          <w:sz w:val="24"/>
          <w:szCs w:val="24"/>
        </w:rPr>
        <w:t xml:space="preserve">, email: sara.morici@unimc.it </w:t>
      </w:r>
    </w:p>
    <w:p w14:paraId="6AD20116" w14:textId="77777777" w:rsidR="00A0289D" w:rsidRPr="00FB3143" w:rsidRDefault="00A0289D" w:rsidP="00A0289D">
      <w:pPr>
        <w:autoSpaceDE w:val="0"/>
        <w:autoSpaceDN w:val="0"/>
        <w:adjustRightInd w:val="0"/>
        <w:spacing w:after="0" w:line="240" w:lineRule="auto"/>
        <w:rPr>
          <w:b/>
          <w:sz w:val="24"/>
          <w:szCs w:val="24"/>
        </w:rPr>
      </w:pPr>
    </w:p>
    <w:p w14:paraId="15808D2D" w14:textId="77777777" w:rsidR="008A47E9" w:rsidRPr="00FB3143" w:rsidRDefault="008A47E9" w:rsidP="008A47E9">
      <w:pPr>
        <w:spacing w:after="0"/>
        <w:jc w:val="both"/>
        <w:rPr>
          <w:i/>
          <w:sz w:val="24"/>
          <w:szCs w:val="24"/>
        </w:rPr>
      </w:pPr>
      <w:proofErr w:type="spellStart"/>
      <w:r w:rsidRPr="00FB3143">
        <w:rPr>
          <w:i/>
          <w:sz w:val="24"/>
          <w:szCs w:val="24"/>
        </w:rPr>
        <w:t>Abstract</w:t>
      </w:r>
      <w:proofErr w:type="spellEnd"/>
    </w:p>
    <w:p w14:paraId="7FB4A546" w14:textId="77777777" w:rsidR="008A47E9" w:rsidRPr="00FB3143" w:rsidRDefault="008A47E9" w:rsidP="008A47E9">
      <w:pPr>
        <w:spacing w:after="0"/>
        <w:jc w:val="both"/>
        <w:rPr>
          <w:b/>
          <w:sz w:val="24"/>
          <w:szCs w:val="24"/>
        </w:rPr>
      </w:pPr>
    </w:p>
    <w:p w14:paraId="61FC1C5B" w14:textId="3B7ABF5F" w:rsidR="00097147" w:rsidRPr="00FB3143" w:rsidRDefault="00097147" w:rsidP="00097147">
      <w:pPr>
        <w:pStyle w:val="xmsonormal"/>
        <w:ind w:firstLine="284"/>
        <w:jc w:val="both"/>
        <w:rPr>
          <w:rFonts w:asciiTheme="minorHAnsi" w:hAnsiTheme="minorHAnsi" w:cstheme="minorBidi"/>
          <w:lang w:eastAsia="en-US"/>
        </w:rPr>
      </w:pPr>
      <w:r w:rsidRPr="00FB3143">
        <w:rPr>
          <w:rFonts w:asciiTheme="minorHAnsi" w:hAnsiTheme="minorHAnsi" w:cstheme="minorBidi"/>
          <w:lang w:eastAsia="en-US"/>
        </w:rPr>
        <w:t>L’obiettivo del presente lavoro è quello di compiere un’analisi multilivello delle norme che regolano il deposito dei con</w:t>
      </w:r>
      <w:r w:rsidR="008E716A" w:rsidRPr="00FB3143">
        <w:rPr>
          <w:rFonts w:asciiTheme="minorHAnsi" w:hAnsiTheme="minorHAnsi" w:cstheme="minorBidi"/>
          <w:lang w:eastAsia="en-US"/>
        </w:rPr>
        <w:t xml:space="preserve">tributi scientifici e </w:t>
      </w:r>
      <w:r w:rsidRPr="00FB3143">
        <w:rPr>
          <w:rFonts w:asciiTheme="minorHAnsi" w:hAnsiTheme="minorHAnsi" w:cstheme="minorBidi"/>
          <w:lang w:eastAsia="en-US"/>
        </w:rPr>
        <w:t>l’accesso aperto (OA) alla letteratura scientifica. A tal fine, dopo aver illustrato i principali benefici del</w:t>
      </w:r>
      <w:r w:rsidR="008E716A" w:rsidRPr="00FB3143">
        <w:rPr>
          <w:rFonts w:asciiTheme="minorHAnsi" w:hAnsiTheme="minorHAnsi" w:cstheme="minorBidi"/>
          <w:lang w:eastAsia="en-US"/>
        </w:rPr>
        <w:t>l’OA ed i principali ostacoli alla</w:t>
      </w:r>
      <w:r w:rsidRPr="00FB3143">
        <w:rPr>
          <w:rFonts w:asciiTheme="minorHAnsi" w:hAnsiTheme="minorHAnsi" w:cstheme="minorBidi"/>
          <w:lang w:eastAsia="en-US"/>
        </w:rPr>
        <w:t xml:space="preserve"> sua piena diffusione, si è proceduto ad un’analisi del contesto di riferimento (fatto di norme, raccomandazioni, prassi etc.) su tre livelli. Muovendo dal livello sovrannazionale a quello nazionale si è giunti alla descrizione dello stato di attuazione del principio dell’OA da parte degli atenei italiani (terzo livello). Infine sono state condotte delle statistiche descrittive volte ad evidenziare quali punti accomunano e quali differenziano le scelte operate dalle università italiane che hanno approvato un documento che disciplina il deposito e l’accesso aperto ai risultati della ricerca scientifica. </w:t>
      </w:r>
    </w:p>
    <w:p w14:paraId="4588E72B" w14:textId="77777777" w:rsidR="00097147" w:rsidRPr="00FB3143" w:rsidRDefault="00097147" w:rsidP="00097147">
      <w:pPr>
        <w:pStyle w:val="xmsonormal"/>
        <w:ind w:firstLine="284"/>
        <w:jc w:val="both"/>
        <w:rPr>
          <w:rFonts w:asciiTheme="minorHAnsi" w:hAnsiTheme="minorHAnsi" w:cstheme="minorBidi"/>
          <w:lang w:eastAsia="en-US"/>
        </w:rPr>
      </w:pPr>
    </w:p>
    <w:p w14:paraId="6830970D" w14:textId="6F0C7DD8" w:rsidR="00097147" w:rsidRPr="00FB3143" w:rsidRDefault="00097147" w:rsidP="00097147">
      <w:pPr>
        <w:pStyle w:val="NormaleWeb"/>
        <w:spacing w:before="0" w:beforeAutospacing="0" w:after="0" w:afterAutospacing="0"/>
        <w:ind w:firstLine="284"/>
        <w:jc w:val="both"/>
        <w:rPr>
          <w:rFonts w:asciiTheme="minorHAnsi" w:eastAsiaTheme="minorHAnsi" w:hAnsiTheme="minorHAnsi" w:cstheme="minorBidi"/>
          <w:i/>
          <w:lang w:val="en-GB" w:eastAsia="en-US"/>
        </w:rPr>
      </w:pPr>
      <w:r w:rsidRPr="00FB3143">
        <w:rPr>
          <w:rFonts w:asciiTheme="minorHAnsi" w:eastAsiaTheme="minorHAnsi" w:hAnsiTheme="minorHAnsi" w:cstheme="minorBidi"/>
          <w:i/>
          <w:lang w:val="en-GB" w:eastAsia="en-US"/>
        </w:rPr>
        <w:t xml:space="preserve">The scope of the present work is to carry out a multilevel analysis of </w:t>
      </w:r>
      <w:r w:rsidR="008E716A" w:rsidRPr="00FB3143">
        <w:rPr>
          <w:rFonts w:asciiTheme="minorHAnsi" w:eastAsiaTheme="minorHAnsi" w:hAnsiTheme="minorHAnsi" w:cstheme="minorBidi"/>
          <w:i/>
          <w:lang w:val="en-GB" w:eastAsia="en-US"/>
        </w:rPr>
        <w:t xml:space="preserve">the </w:t>
      </w:r>
      <w:r w:rsidRPr="00FB3143">
        <w:rPr>
          <w:rFonts w:asciiTheme="minorHAnsi" w:eastAsiaTheme="minorHAnsi" w:hAnsiTheme="minorHAnsi" w:cstheme="minorBidi"/>
          <w:i/>
          <w:lang w:val="en-GB" w:eastAsia="en-US"/>
        </w:rPr>
        <w:t xml:space="preserve">rules that </w:t>
      </w:r>
      <w:proofErr w:type="gramStart"/>
      <w:r w:rsidRPr="00FB3143">
        <w:rPr>
          <w:rFonts w:asciiTheme="minorHAnsi" w:eastAsiaTheme="minorHAnsi" w:hAnsiTheme="minorHAnsi" w:cstheme="minorBidi"/>
          <w:i/>
          <w:lang w:val="en-GB" w:eastAsia="en-US"/>
        </w:rPr>
        <w:t>are related</w:t>
      </w:r>
      <w:proofErr w:type="gramEnd"/>
      <w:r w:rsidRPr="00FB3143">
        <w:rPr>
          <w:rFonts w:asciiTheme="minorHAnsi" w:eastAsiaTheme="minorHAnsi" w:hAnsiTheme="minorHAnsi" w:cstheme="minorBidi"/>
          <w:i/>
          <w:lang w:val="en-GB" w:eastAsia="en-US"/>
        </w:rPr>
        <w:t xml:space="preserve"> to the question of archiving scientific contributions and open access (OA) of scientific research. To reach </w:t>
      </w:r>
      <w:proofErr w:type="gramStart"/>
      <w:r w:rsidRPr="00FB3143">
        <w:rPr>
          <w:rFonts w:asciiTheme="minorHAnsi" w:eastAsiaTheme="minorHAnsi" w:hAnsiTheme="minorHAnsi" w:cstheme="minorBidi"/>
          <w:i/>
          <w:lang w:val="en-GB" w:eastAsia="en-US"/>
        </w:rPr>
        <w:t>this</w:t>
      </w:r>
      <w:proofErr w:type="gramEnd"/>
      <w:r w:rsidRPr="00FB3143">
        <w:rPr>
          <w:rFonts w:asciiTheme="minorHAnsi" w:eastAsiaTheme="minorHAnsi" w:hAnsiTheme="minorHAnsi" w:cstheme="minorBidi"/>
          <w:i/>
          <w:lang w:val="en-GB" w:eastAsia="en-US"/>
        </w:rPr>
        <w:t xml:space="preserve"> goal we first describe the main benefits associated to the OA and also the main barriers to its complete circulation, then we analyse the general context (i.e. rules, references, procedures etc.) based on three levels. Moving from the international to the national </w:t>
      </w:r>
      <w:proofErr w:type="gramStart"/>
      <w:r w:rsidRPr="00FB3143">
        <w:rPr>
          <w:rFonts w:asciiTheme="minorHAnsi" w:eastAsiaTheme="minorHAnsi" w:hAnsiTheme="minorHAnsi" w:cstheme="minorBidi"/>
          <w:i/>
          <w:lang w:val="en-GB" w:eastAsia="en-US"/>
        </w:rPr>
        <w:t>level</w:t>
      </w:r>
      <w:proofErr w:type="gramEnd"/>
      <w:r w:rsidRPr="00FB3143">
        <w:rPr>
          <w:rFonts w:asciiTheme="minorHAnsi" w:eastAsiaTheme="minorHAnsi" w:hAnsiTheme="minorHAnsi" w:cstheme="minorBidi"/>
          <w:i/>
          <w:lang w:val="en-GB" w:eastAsia="en-US"/>
        </w:rPr>
        <w:t xml:space="preserve"> we describe how Italian universities have implemented their principles on OA (third level).  Finally, descriptive statistics </w:t>
      </w:r>
      <w:proofErr w:type="gramStart"/>
      <w:r w:rsidRPr="00FB3143">
        <w:rPr>
          <w:rFonts w:asciiTheme="minorHAnsi" w:eastAsiaTheme="minorHAnsi" w:hAnsiTheme="minorHAnsi" w:cstheme="minorBidi"/>
          <w:i/>
          <w:lang w:val="en-GB" w:eastAsia="en-US"/>
        </w:rPr>
        <w:t>are conducted</w:t>
      </w:r>
      <w:proofErr w:type="gramEnd"/>
      <w:r w:rsidRPr="00FB3143">
        <w:rPr>
          <w:rFonts w:asciiTheme="minorHAnsi" w:eastAsiaTheme="minorHAnsi" w:hAnsiTheme="minorHAnsi" w:cstheme="minorBidi"/>
          <w:i/>
          <w:lang w:val="en-GB" w:eastAsia="en-US"/>
        </w:rPr>
        <w:t xml:space="preserve"> to highlight which points are common and which differentiate the choices made by Italian universities that have approved a document regulating the archiving and open access of scientific research results.</w:t>
      </w:r>
    </w:p>
    <w:p w14:paraId="2EDED7A2" w14:textId="2B400EB0" w:rsidR="00B40012" w:rsidRDefault="00B40012" w:rsidP="002164CE">
      <w:pPr>
        <w:spacing w:after="0"/>
        <w:rPr>
          <w:b/>
          <w:sz w:val="24"/>
          <w:szCs w:val="24"/>
          <w:lang w:val="en-GB"/>
        </w:rPr>
      </w:pPr>
    </w:p>
    <w:p w14:paraId="5380376D" w14:textId="78DB20FE" w:rsidR="0081302F" w:rsidRDefault="0081302F" w:rsidP="002164CE">
      <w:pPr>
        <w:spacing w:after="0"/>
        <w:rPr>
          <w:b/>
          <w:sz w:val="24"/>
          <w:szCs w:val="24"/>
          <w:lang w:val="en-GB"/>
        </w:rPr>
      </w:pPr>
    </w:p>
    <w:p w14:paraId="098DACA8" w14:textId="77777777" w:rsidR="0081302F" w:rsidRPr="00FB3143" w:rsidRDefault="0081302F" w:rsidP="002164CE">
      <w:pPr>
        <w:spacing w:after="0"/>
        <w:rPr>
          <w:b/>
          <w:sz w:val="24"/>
          <w:szCs w:val="24"/>
          <w:lang w:val="en-GB"/>
        </w:rPr>
      </w:pPr>
    </w:p>
    <w:p w14:paraId="36033AB8" w14:textId="77777777" w:rsidR="00E670D2" w:rsidRPr="00FB3143" w:rsidRDefault="00D4791B" w:rsidP="00134B0D">
      <w:pPr>
        <w:pStyle w:val="Paragrafoelenco"/>
        <w:numPr>
          <w:ilvl w:val="0"/>
          <w:numId w:val="19"/>
        </w:numPr>
        <w:spacing w:after="0" w:line="240" w:lineRule="auto"/>
        <w:ind w:left="568" w:hanging="284"/>
        <w:rPr>
          <w:b/>
          <w:sz w:val="24"/>
          <w:szCs w:val="24"/>
        </w:rPr>
      </w:pPr>
      <w:r w:rsidRPr="00FB3143">
        <w:rPr>
          <w:i/>
          <w:sz w:val="24"/>
          <w:szCs w:val="24"/>
        </w:rPr>
        <w:lastRenderedPageBreak/>
        <w:t>Le ragioni dell’O</w:t>
      </w:r>
      <w:r w:rsidR="00964034" w:rsidRPr="00FB3143">
        <w:rPr>
          <w:i/>
          <w:sz w:val="24"/>
          <w:szCs w:val="24"/>
        </w:rPr>
        <w:t>A</w:t>
      </w:r>
      <w:r w:rsidR="00B56AF6" w:rsidRPr="00FB3143">
        <w:rPr>
          <w:b/>
          <w:sz w:val="24"/>
          <w:szCs w:val="24"/>
        </w:rPr>
        <w:t xml:space="preserve"> </w:t>
      </w:r>
    </w:p>
    <w:p w14:paraId="34F068A8" w14:textId="77777777" w:rsidR="000F09BD" w:rsidRPr="00FB3143" w:rsidRDefault="000F09BD" w:rsidP="00E670D2">
      <w:pPr>
        <w:spacing w:after="0"/>
        <w:rPr>
          <w:b/>
          <w:sz w:val="24"/>
          <w:szCs w:val="24"/>
        </w:rPr>
      </w:pPr>
    </w:p>
    <w:p w14:paraId="05EBB746" w14:textId="77777777" w:rsidR="004B6D73" w:rsidRPr="00FB3143" w:rsidRDefault="004B6D73" w:rsidP="004B6D73">
      <w:pPr>
        <w:spacing w:after="0" w:line="240" w:lineRule="auto"/>
        <w:ind w:firstLine="284"/>
        <w:jc w:val="both"/>
        <w:rPr>
          <w:sz w:val="24"/>
          <w:szCs w:val="24"/>
        </w:rPr>
      </w:pPr>
      <w:r w:rsidRPr="00FB3143">
        <w:rPr>
          <w:sz w:val="24"/>
          <w:szCs w:val="24"/>
        </w:rPr>
        <w:t>Per Open Access (OA) o Accesso Aperto si intende una modalità di pubblicazione dei prodotti della ricerca scientifica</w:t>
      </w:r>
      <w:r w:rsidR="009B7F7C" w:rsidRPr="00FB3143">
        <w:rPr>
          <w:sz w:val="24"/>
          <w:szCs w:val="24"/>
        </w:rPr>
        <w:t xml:space="preserve"> che ne </w:t>
      </w:r>
      <w:r w:rsidRPr="00FB3143">
        <w:rPr>
          <w:sz w:val="24"/>
          <w:szCs w:val="24"/>
        </w:rPr>
        <w:t>consent</w:t>
      </w:r>
      <w:r w:rsidR="009B7F7C" w:rsidRPr="00FB3143">
        <w:rPr>
          <w:sz w:val="24"/>
          <w:szCs w:val="24"/>
        </w:rPr>
        <w:t>e</w:t>
      </w:r>
      <w:r w:rsidRPr="00FB3143">
        <w:rPr>
          <w:sz w:val="24"/>
          <w:szCs w:val="24"/>
        </w:rPr>
        <w:t xml:space="preserve"> un accesso libero e senza restrizione. L’OA prende in considerazione un qualsiasi prodotto</w:t>
      </w:r>
      <w:r w:rsidR="00441AAC" w:rsidRPr="00FB3143">
        <w:rPr>
          <w:sz w:val="24"/>
          <w:szCs w:val="24"/>
        </w:rPr>
        <w:t xml:space="preserve"> (o contributo)</w:t>
      </w:r>
      <w:r w:rsidRPr="00FB3143">
        <w:rPr>
          <w:sz w:val="24"/>
          <w:szCs w:val="24"/>
        </w:rPr>
        <w:t xml:space="preserve"> destinato al dibattito ed alla divulgazione scientifica</w:t>
      </w:r>
      <w:r w:rsidR="00441AAC" w:rsidRPr="00FB3143">
        <w:rPr>
          <w:sz w:val="24"/>
          <w:szCs w:val="24"/>
        </w:rPr>
        <w:t xml:space="preserve">, </w:t>
      </w:r>
      <w:r w:rsidRPr="00FB3143">
        <w:rPr>
          <w:sz w:val="24"/>
          <w:szCs w:val="24"/>
        </w:rPr>
        <w:t>che può consistere in articoli di riviste</w:t>
      </w:r>
      <w:r w:rsidR="009B7F7C" w:rsidRPr="00FB3143">
        <w:rPr>
          <w:sz w:val="24"/>
          <w:szCs w:val="24"/>
        </w:rPr>
        <w:t xml:space="preserve">, </w:t>
      </w:r>
      <w:r w:rsidRPr="00FB3143">
        <w:rPr>
          <w:sz w:val="24"/>
          <w:szCs w:val="24"/>
        </w:rPr>
        <w:t>atti di convegno, monografie o su</w:t>
      </w:r>
      <w:r w:rsidR="000F09BD" w:rsidRPr="00FB3143">
        <w:rPr>
          <w:sz w:val="24"/>
          <w:szCs w:val="24"/>
        </w:rPr>
        <w:t xml:space="preserve">e parti, </w:t>
      </w:r>
      <w:r w:rsidRPr="00FB3143">
        <w:rPr>
          <w:sz w:val="24"/>
          <w:szCs w:val="24"/>
        </w:rPr>
        <w:t>saggi monografici, tesi di dottorato, come anche</w:t>
      </w:r>
      <w:r w:rsidR="00ED23EF" w:rsidRPr="00FB3143">
        <w:rPr>
          <w:sz w:val="24"/>
          <w:szCs w:val="24"/>
        </w:rPr>
        <w:t xml:space="preserve"> in </w:t>
      </w:r>
      <w:r w:rsidRPr="00FB3143">
        <w:rPr>
          <w:sz w:val="24"/>
          <w:szCs w:val="24"/>
        </w:rPr>
        <w:t xml:space="preserve">testi comprensivi di dati quali immagini, video, tabelle, disegni, diagrammi, grafici e formule. </w:t>
      </w:r>
    </w:p>
    <w:p w14:paraId="3EE29B6C" w14:textId="64DABADE" w:rsidR="004B6D73" w:rsidRPr="00FB3143" w:rsidRDefault="004B6D73" w:rsidP="004B6D73">
      <w:pPr>
        <w:spacing w:after="0" w:line="240" w:lineRule="auto"/>
        <w:ind w:firstLine="284"/>
        <w:jc w:val="both"/>
        <w:rPr>
          <w:sz w:val="24"/>
          <w:szCs w:val="24"/>
        </w:rPr>
      </w:pPr>
      <w:r w:rsidRPr="00FB3143">
        <w:rPr>
          <w:sz w:val="24"/>
          <w:szCs w:val="24"/>
        </w:rPr>
        <w:t>La filosofia dell’OA interpreta compiutamente il duplice principio su cui si fonda la missione dell’</w:t>
      </w:r>
      <w:r w:rsidR="00407CC1" w:rsidRPr="00FB3143">
        <w:rPr>
          <w:sz w:val="24"/>
          <w:szCs w:val="24"/>
        </w:rPr>
        <w:t>u</w:t>
      </w:r>
      <w:r w:rsidR="00F76143" w:rsidRPr="00FB3143">
        <w:rPr>
          <w:sz w:val="24"/>
          <w:szCs w:val="24"/>
        </w:rPr>
        <w:t>niversità</w:t>
      </w:r>
      <w:r w:rsidRPr="00FB3143">
        <w:rPr>
          <w:sz w:val="24"/>
          <w:szCs w:val="24"/>
        </w:rPr>
        <w:t xml:space="preserve">: la ricerca, intesa come produzione di conoscenza e disseminazione dei suoi contenuti a livello nazionale e/o internazionale, e la didattica, </w:t>
      </w:r>
      <w:r w:rsidR="008E716A" w:rsidRPr="00FB3143">
        <w:rPr>
          <w:sz w:val="24"/>
          <w:szCs w:val="24"/>
        </w:rPr>
        <w:t xml:space="preserve">intesa </w:t>
      </w:r>
      <w:r w:rsidRPr="00FB3143">
        <w:rPr>
          <w:sz w:val="24"/>
          <w:szCs w:val="24"/>
        </w:rPr>
        <w:t>come distribuzione di prodotti intellettuali finalizzati alla produzione di nuova conoscenza.</w:t>
      </w:r>
    </w:p>
    <w:p w14:paraId="16715168" w14:textId="77777777" w:rsidR="00ED23EF" w:rsidRPr="00FB3143" w:rsidRDefault="004B6D73" w:rsidP="004B6D73">
      <w:pPr>
        <w:spacing w:after="0" w:line="240" w:lineRule="auto"/>
        <w:ind w:firstLine="284"/>
        <w:jc w:val="both"/>
        <w:rPr>
          <w:sz w:val="24"/>
          <w:szCs w:val="24"/>
        </w:rPr>
      </w:pPr>
      <w:r w:rsidRPr="00FB3143">
        <w:rPr>
          <w:sz w:val="24"/>
          <w:szCs w:val="24"/>
        </w:rPr>
        <w:t>La modalità di pubblicazione ad accesso aperto</w:t>
      </w:r>
      <w:r w:rsidR="00ED23EF" w:rsidRPr="00FB3143">
        <w:rPr>
          <w:sz w:val="24"/>
          <w:szCs w:val="24"/>
        </w:rPr>
        <w:t xml:space="preserve"> non solo </w:t>
      </w:r>
      <w:r w:rsidRPr="00FB3143">
        <w:rPr>
          <w:sz w:val="24"/>
          <w:szCs w:val="24"/>
        </w:rPr>
        <w:t>risponde al valore costituzionalmente riconosciuto di promozione della ricerca scientifica, così come enunciato nell’art. 9 della Costituzione Italiana</w:t>
      </w:r>
      <w:r w:rsidR="005D1708" w:rsidRPr="00FB3143">
        <w:rPr>
          <w:sz w:val="24"/>
          <w:szCs w:val="24"/>
        </w:rPr>
        <w:t xml:space="preserve"> «</w:t>
      </w:r>
      <w:r w:rsidRPr="00FB3143">
        <w:rPr>
          <w:sz w:val="24"/>
          <w:szCs w:val="24"/>
        </w:rPr>
        <w:t>La Repubblica promuove lo sviluppo della cultura e la ricerca scientifica e tecnica…</w:t>
      </w:r>
      <w:r w:rsidR="00FE00A1" w:rsidRPr="00FB3143">
        <w:rPr>
          <w:sz w:val="24"/>
          <w:szCs w:val="24"/>
        </w:rPr>
        <w:t>»</w:t>
      </w:r>
      <w:r w:rsidR="00770172" w:rsidRPr="00FB3143">
        <w:rPr>
          <w:sz w:val="24"/>
          <w:szCs w:val="24"/>
        </w:rPr>
        <w:t xml:space="preserve">, </w:t>
      </w:r>
      <w:r w:rsidR="00ED23EF" w:rsidRPr="00FB3143">
        <w:rPr>
          <w:sz w:val="24"/>
          <w:szCs w:val="24"/>
        </w:rPr>
        <w:t xml:space="preserve">ma </w:t>
      </w:r>
      <w:r w:rsidRPr="00FB3143">
        <w:rPr>
          <w:sz w:val="24"/>
          <w:szCs w:val="24"/>
        </w:rPr>
        <w:t>permette, nel solco dell’art. 33 della Costituzione</w:t>
      </w:r>
      <w:r w:rsidR="00770172" w:rsidRPr="00FB3143">
        <w:rPr>
          <w:sz w:val="24"/>
          <w:szCs w:val="24"/>
        </w:rPr>
        <w:t xml:space="preserve">, che </w:t>
      </w:r>
      <w:r w:rsidR="00B46687" w:rsidRPr="00FB3143">
        <w:rPr>
          <w:sz w:val="24"/>
          <w:szCs w:val="24"/>
        </w:rPr>
        <w:t xml:space="preserve">recita che </w:t>
      </w:r>
      <w:r w:rsidR="005D1708" w:rsidRPr="00FB3143">
        <w:rPr>
          <w:sz w:val="24"/>
          <w:szCs w:val="24"/>
        </w:rPr>
        <w:t>«</w:t>
      </w:r>
      <w:r w:rsidR="00770172" w:rsidRPr="00FB3143">
        <w:rPr>
          <w:sz w:val="24"/>
          <w:szCs w:val="24"/>
        </w:rPr>
        <w:t>…</w:t>
      </w:r>
      <w:r w:rsidRPr="00FB3143">
        <w:rPr>
          <w:sz w:val="24"/>
          <w:szCs w:val="24"/>
        </w:rPr>
        <w:t>l’arte e la scienza sono libere e libero ne è l'insegnamento</w:t>
      </w:r>
      <w:r w:rsidR="00FE00A1" w:rsidRPr="00FB3143">
        <w:rPr>
          <w:sz w:val="24"/>
          <w:szCs w:val="24"/>
        </w:rPr>
        <w:t>»</w:t>
      </w:r>
      <w:r w:rsidR="00B46687" w:rsidRPr="00FB3143">
        <w:rPr>
          <w:sz w:val="24"/>
          <w:szCs w:val="24"/>
        </w:rPr>
        <w:t xml:space="preserve">, </w:t>
      </w:r>
      <w:r w:rsidRPr="00FB3143">
        <w:rPr>
          <w:sz w:val="24"/>
          <w:szCs w:val="24"/>
        </w:rPr>
        <w:t>una più rapida disseminazione dei risultati della ricerca scientifica su scala nazionale ed internazionale</w:t>
      </w:r>
      <w:r w:rsidR="009B7F7C" w:rsidRPr="00FB3143">
        <w:rPr>
          <w:sz w:val="24"/>
          <w:szCs w:val="24"/>
        </w:rPr>
        <w:t xml:space="preserve">, </w:t>
      </w:r>
      <w:r w:rsidRPr="00FB3143">
        <w:rPr>
          <w:sz w:val="24"/>
          <w:szCs w:val="24"/>
        </w:rPr>
        <w:t xml:space="preserve"> concorrendo ad un più rapido progresso scientifico e culturale</w:t>
      </w:r>
      <w:r w:rsidR="00ED23EF" w:rsidRPr="00FB3143">
        <w:rPr>
          <w:sz w:val="24"/>
          <w:szCs w:val="24"/>
        </w:rPr>
        <w:t xml:space="preserve">. Altri </w:t>
      </w:r>
      <w:r w:rsidR="00B61ACF" w:rsidRPr="00FB3143">
        <w:rPr>
          <w:sz w:val="24"/>
          <w:szCs w:val="24"/>
        </w:rPr>
        <w:t>benefici derivanti da</w:t>
      </w:r>
      <w:r w:rsidR="00ED23EF" w:rsidRPr="00FB3143">
        <w:rPr>
          <w:sz w:val="24"/>
          <w:szCs w:val="24"/>
        </w:rPr>
        <w:t xml:space="preserve">lla pubblicazione ad accesso aperto sono riconducibili alla capacità di </w:t>
      </w:r>
      <w:r w:rsidRPr="00FB3143">
        <w:rPr>
          <w:sz w:val="24"/>
          <w:szCs w:val="24"/>
        </w:rPr>
        <w:t>favori</w:t>
      </w:r>
      <w:r w:rsidR="00ED23EF" w:rsidRPr="00FB3143">
        <w:rPr>
          <w:sz w:val="24"/>
          <w:szCs w:val="24"/>
        </w:rPr>
        <w:t xml:space="preserve">re </w:t>
      </w:r>
      <w:r w:rsidRPr="00FB3143">
        <w:rPr>
          <w:sz w:val="24"/>
          <w:szCs w:val="24"/>
        </w:rPr>
        <w:t>la ricerca interdisciplinare</w:t>
      </w:r>
      <w:r w:rsidR="00ED23EF" w:rsidRPr="00FB3143">
        <w:rPr>
          <w:sz w:val="24"/>
          <w:szCs w:val="24"/>
        </w:rPr>
        <w:t xml:space="preserve">, di </w:t>
      </w:r>
      <w:r w:rsidRPr="00FB3143">
        <w:rPr>
          <w:sz w:val="24"/>
          <w:szCs w:val="24"/>
        </w:rPr>
        <w:t>facilita</w:t>
      </w:r>
      <w:r w:rsidR="00ED23EF" w:rsidRPr="00FB3143">
        <w:rPr>
          <w:sz w:val="24"/>
          <w:szCs w:val="24"/>
        </w:rPr>
        <w:t xml:space="preserve">re la </w:t>
      </w:r>
      <w:r w:rsidRPr="00FB3143">
        <w:rPr>
          <w:sz w:val="24"/>
          <w:szCs w:val="24"/>
        </w:rPr>
        <w:t>conservazione nel tempo della produzione scientifica</w:t>
      </w:r>
      <w:r w:rsidR="00ED23EF" w:rsidRPr="00FB3143">
        <w:rPr>
          <w:sz w:val="24"/>
          <w:szCs w:val="24"/>
        </w:rPr>
        <w:t xml:space="preserve">, di </w:t>
      </w:r>
      <w:r w:rsidRPr="00FB3143">
        <w:rPr>
          <w:sz w:val="24"/>
          <w:szCs w:val="24"/>
        </w:rPr>
        <w:t>permette</w:t>
      </w:r>
      <w:r w:rsidR="00ED23EF" w:rsidRPr="00FB3143">
        <w:rPr>
          <w:sz w:val="24"/>
          <w:szCs w:val="24"/>
        </w:rPr>
        <w:t>re</w:t>
      </w:r>
      <w:r w:rsidRPr="00FB3143">
        <w:rPr>
          <w:sz w:val="24"/>
          <w:szCs w:val="24"/>
        </w:rPr>
        <w:t xml:space="preserve"> all’autore</w:t>
      </w:r>
      <w:r w:rsidR="00ED23EF" w:rsidRPr="00FB3143">
        <w:rPr>
          <w:sz w:val="24"/>
          <w:szCs w:val="24"/>
        </w:rPr>
        <w:t xml:space="preserve"> ed ai prodotti della sua attività intellettuale </w:t>
      </w:r>
      <w:r w:rsidRPr="00FB3143">
        <w:rPr>
          <w:sz w:val="24"/>
          <w:szCs w:val="24"/>
        </w:rPr>
        <w:t xml:space="preserve">di raggiungere la massima visibilità </w:t>
      </w:r>
      <w:r w:rsidR="009B7F7C" w:rsidRPr="00FB3143">
        <w:rPr>
          <w:sz w:val="24"/>
          <w:szCs w:val="24"/>
        </w:rPr>
        <w:t>ed a</w:t>
      </w:r>
      <w:r w:rsidRPr="00FB3143">
        <w:rPr>
          <w:sz w:val="24"/>
          <w:szCs w:val="24"/>
        </w:rPr>
        <w:t>ccessibilità</w:t>
      </w:r>
      <w:r w:rsidR="00ED23EF" w:rsidRPr="00FB3143">
        <w:rPr>
          <w:sz w:val="24"/>
          <w:szCs w:val="24"/>
        </w:rPr>
        <w:t xml:space="preserve">, di </w:t>
      </w:r>
      <w:r w:rsidRPr="00FB3143">
        <w:rPr>
          <w:sz w:val="24"/>
          <w:szCs w:val="24"/>
        </w:rPr>
        <w:t>contribui</w:t>
      </w:r>
      <w:r w:rsidR="00ED23EF" w:rsidRPr="00FB3143">
        <w:rPr>
          <w:sz w:val="24"/>
          <w:szCs w:val="24"/>
        </w:rPr>
        <w:t xml:space="preserve">re </w:t>
      </w:r>
      <w:r w:rsidRPr="00FB3143">
        <w:rPr>
          <w:sz w:val="24"/>
          <w:szCs w:val="24"/>
        </w:rPr>
        <w:t>alla lotta contro le frodi scientifiche</w:t>
      </w:r>
      <w:r w:rsidR="00ED23EF" w:rsidRPr="00FB3143">
        <w:rPr>
          <w:sz w:val="24"/>
          <w:szCs w:val="24"/>
        </w:rPr>
        <w:t xml:space="preserve">, di rendere </w:t>
      </w:r>
      <w:r w:rsidRPr="00FB3143">
        <w:rPr>
          <w:sz w:val="24"/>
          <w:szCs w:val="24"/>
        </w:rPr>
        <w:t>sempre ed immediatamente disponibili i contributi per gli esercizi di valutazione</w:t>
      </w:r>
      <w:r w:rsidR="00ED23EF" w:rsidRPr="00FB3143">
        <w:rPr>
          <w:sz w:val="24"/>
          <w:szCs w:val="24"/>
        </w:rPr>
        <w:t>, nonché di partecipare alle strategie di un’editoria sostenibile</w:t>
      </w:r>
      <w:r w:rsidR="0062389D" w:rsidRPr="00FB3143">
        <w:rPr>
          <w:rStyle w:val="Rimandonotaapidipagina"/>
          <w:sz w:val="24"/>
          <w:szCs w:val="24"/>
        </w:rPr>
        <w:footnoteReference w:id="1"/>
      </w:r>
      <w:r w:rsidR="00ED23EF" w:rsidRPr="00FB3143">
        <w:rPr>
          <w:sz w:val="24"/>
          <w:szCs w:val="24"/>
        </w:rPr>
        <w:t>.</w:t>
      </w:r>
      <w:r w:rsidR="00146999" w:rsidRPr="00FB3143">
        <w:rPr>
          <w:sz w:val="24"/>
          <w:szCs w:val="24"/>
        </w:rPr>
        <w:t xml:space="preserve"> </w:t>
      </w:r>
    </w:p>
    <w:p w14:paraId="144CCE16" w14:textId="77777777" w:rsidR="004B6D73" w:rsidRPr="00FB3143" w:rsidRDefault="004B6D73" w:rsidP="004B6D73">
      <w:pPr>
        <w:spacing w:after="0" w:line="240" w:lineRule="auto"/>
        <w:ind w:firstLine="284"/>
        <w:jc w:val="both"/>
        <w:rPr>
          <w:sz w:val="24"/>
          <w:szCs w:val="24"/>
        </w:rPr>
      </w:pPr>
      <w:r w:rsidRPr="00FB3143">
        <w:rPr>
          <w:sz w:val="24"/>
          <w:szCs w:val="24"/>
        </w:rPr>
        <w:t xml:space="preserve">Il modello dell’OA si contrappone al modello classico di pubblicazione, vale a dire quello in cui le case editrici </w:t>
      </w:r>
      <w:r w:rsidR="00146999" w:rsidRPr="00FB3143">
        <w:rPr>
          <w:sz w:val="24"/>
          <w:szCs w:val="24"/>
        </w:rPr>
        <w:t xml:space="preserve">non solo </w:t>
      </w:r>
      <w:r w:rsidRPr="00FB3143">
        <w:rPr>
          <w:sz w:val="24"/>
          <w:szCs w:val="24"/>
        </w:rPr>
        <w:t>detengono i diritti esclusivi sul contributo</w:t>
      </w:r>
      <w:r w:rsidR="00146999" w:rsidRPr="00FB3143">
        <w:rPr>
          <w:sz w:val="24"/>
          <w:szCs w:val="24"/>
        </w:rPr>
        <w:t xml:space="preserve">, ma ricavano benefici economici dallo stesso, commercializzando </w:t>
      </w:r>
      <w:r w:rsidRPr="00FB3143">
        <w:rPr>
          <w:sz w:val="24"/>
          <w:szCs w:val="24"/>
        </w:rPr>
        <w:t>abbonamenti</w:t>
      </w:r>
      <w:r w:rsidR="00146999" w:rsidRPr="00FB3143">
        <w:rPr>
          <w:sz w:val="24"/>
          <w:szCs w:val="24"/>
        </w:rPr>
        <w:t xml:space="preserve"> a riviste </w:t>
      </w:r>
      <w:r w:rsidRPr="00FB3143">
        <w:rPr>
          <w:sz w:val="24"/>
          <w:szCs w:val="24"/>
        </w:rPr>
        <w:t>e licenze</w:t>
      </w:r>
      <w:r w:rsidR="00146999" w:rsidRPr="00FB3143">
        <w:rPr>
          <w:sz w:val="24"/>
          <w:szCs w:val="24"/>
        </w:rPr>
        <w:t xml:space="preserve"> a banche dati</w:t>
      </w:r>
      <w:r w:rsidR="00826DA5" w:rsidRPr="00FB3143">
        <w:rPr>
          <w:sz w:val="24"/>
          <w:szCs w:val="24"/>
        </w:rPr>
        <w:t xml:space="preserve">. </w:t>
      </w:r>
      <w:r w:rsidRPr="00FB3143">
        <w:rPr>
          <w:sz w:val="24"/>
          <w:szCs w:val="24"/>
        </w:rPr>
        <w:t>Il modello classico comporta un duplice problema</w:t>
      </w:r>
      <w:r w:rsidR="00B61ACF" w:rsidRPr="00FB3143">
        <w:rPr>
          <w:sz w:val="24"/>
          <w:szCs w:val="24"/>
        </w:rPr>
        <w:t xml:space="preserve"> connesso a</w:t>
      </w:r>
      <w:r w:rsidR="009B7F7C" w:rsidRPr="00FB3143">
        <w:rPr>
          <w:sz w:val="24"/>
          <w:szCs w:val="24"/>
        </w:rPr>
        <w:t xml:space="preserve">i costi per le biblioteche accademiche e </w:t>
      </w:r>
      <w:r w:rsidR="00B61ACF" w:rsidRPr="00FB3143">
        <w:rPr>
          <w:sz w:val="24"/>
          <w:szCs w:val="24"/>
        </w:rPr>
        <w:t xml:space="preserve">a </w:t>
      </w:r>
      <w:r w:rsidR="009B7F7C" w:rsidRPr="00FB3143">
        <w:rPr>
          <w:sz w:val="24"/>
          <w:szCs w:val="24"/>
        </w:rPr>
        <w:t xml:space="preserve">quelli per l’istituzione stessa. Il </w:t>
      </w:r>
      <w:r w:rsidRPr="00FB3143">
        <w:rPr>
          <w:sz w:val="24"/>
          <w:szCs w:val="24"/>
        </w:rPr>
        <w:t>monopolio dell’informazione da parte delle grandi case editrici ha portato ad un accesso alla produzione scientifica sempre più costoso</w:t>
      </w:r>
      <w:r w:rsidR="00493502" w:rsidRPr="00FB3143">
        <w:rPr>
          <w:sz w:val="24"/>
          <w:szCs w:val="24"/>
        </w:rPr>
        <w:t>; infatti analizzando i costi dei periodici elettronici si riscontrano au</w:t>
      </w:r>
      <w:r w:rsidRPr="00FB3143">
        <w:rPr>
          <w:sz w:val="24"/>
          <w:szCs w:val="24"/>
        </w:rPr>
        <w:t>menti vertiginosi</w:t>
      </w:r>
      <w:r w:rsidR="00493502" w:rsidRPr="00FB3143">
        <w:rPr>
          <w:sz w:val="24"/>
          <w:szCs w:val="24"/>
        </w:rPr>
        <w:t xml:space="preserve">, superiori al </w:t>
      </w:r>
      <w:r w:rsidRPr="00FB3143">
        <w:rPr>
          <w:sz w:val="24"/>
          <w:szCs w:val="24"/>
        </w:rPr>
        <w:t xml:space="preserve">200-300% </w:t>
      </w:r>
      <w:r w:rsidR="00493502" w:rsidRPr="00FB3143">
        <w:rPr>
          <w:sz w:val="24"/>
          <w:szCs w:val="24"/>
        </w:rPr>
        <w:t xml:space="preserve">rispetto al tasso di inflazione registrata negli ultimi </w:t>
      </w:r>
      <w:r w:rsidRPr="00FB3143">
        <w:rPr>
          <w:sz w:val="24"/>
          <w:szCs w:val="24"/>
        </w:rPr>
        <w:t>20 anni</w:t>
      </w:r>
      <w:r w:rsidR="00493502" w:rsidRPr="00FB3143">
        <w:rPr>
          <w:sz w:val="24"/>
          <w:szCs w:val="24"/>
        </w:rPr>
        <w:t xml:space="preserve">, determinando così un cambiamento nelle politiche d’acquisto delle biblioteche accademiche, vistesi costrette </w:t>
      </w:r>
      <w:r w:rsidRPr="00FB3143">
        <w:rPr>
          <w:sz w:val="24"/>
          <w:szCs w:val="24"/>
        </w:rPr>
        <w:t>a disdire abbonamenti a periodici o a collane</w:t>
      </w:r>
      <w:r w:rsidR="00493502" w:rsidRPr="00FB3143">
        <w:rPr>
          <w:sz w:val="24"/>
          <w:szCs w:val="24"/>
        </w:rPr>
        <w:t xml:space="preserve">, interrompendo il </w:t>
      </w:r>
      <w:r w:rsidR="009B7F7C" w:rsidRPr="00FB3143">
        <w:rPr>
          <w:sz w:val="24"/>
          <w:szCs w:val="24"/>
        </w:rPr>
        <w:t xml:space="preserve">naturale </w:t>
      </w:r>
      <w:r w:rsidR="00493502" w:rsidRPr="00FB3143">
        <w:rPr>
          <w:sz w:val="24"/>
          <w:szCs w:val="24"/>
        </w:rPr>
        <w:t xml:space="preserve">flusso di sviluppo delle collezioni. </w:t>
      </w:r>
      <w:r w:rsidR="009B7F7C" w:rsidRPr="00FB3143">
        <w:rPr>
          <w:sz w:val="24"/>
          <w:szCs w:val="24"/>
        </w:rPr>
        <w:t xml:space="preserve">D’altro canto si verifica il </w:t>
      </w:r>
      <w:r w:rsidRPr="00FB3143">
        <w:rPr>
          <w:sz w:val="24"/>
          <w:szCs w:val="24"/>
        </w:rPr>
        <w:t xml:space="preserve">paradosso per cui le </w:t>
      </w:r>
      <w:r w:rsidR="00F76143" w:rsidRPr="00FB3143">
        <w:rPr>
          <w:sz w:val="24"/>
          <w:szCs w:val="24"/>
        </w:rPr>
        <w:t>università</w:t>
      </w:r>
      <w:r w:rsidR="009B7F7C" w:rsidRPr="00FB3143">
        <w:rPr>
          <w:sz w:val="24"/>
          <w:szCs w:val="24"/>
        </w:rPr>
        <w:t xml:space="preserve"> </w:t>
      </w:r>
      <w:r w:rsidRPr="00FB3143">
        <w:rPr>
          <w:sz w:val="24"/>
          <w:szCs w:val="24"/>
        </w:rPr>
        <w:t xml:space="preserve">prima finanziano la ricerca che i </w:t>
      </w:r>
      <w:r w:rsidR="007E1364" w:rsidRPr="00FB3143">
        <w:rPr>
          <w:sz w:val="24"/>
          <w:szCs w:val="24"/>
        </w:rPr>
        <w:t xml:space="preserve">componenti della comunità accademica </w:t>
      </w:r>
      <w:r w:rsidRPr="00FB3143">
        <w:rPr>
          <w:sz w:val="24"/>
          <w:szCs w:val="24"/>
        </w:rPr>
        <w:t>pubblicano secondo il modello classico</w:t>
      </w:r>
      <w:r w:rsidR="003D13D8" w:rsidRPr="00FB3143">
        <w:rPr>
          <w:sz w:val="24"/>
          <w:szCs w:val="24"/>
        </w:rPr>
        <w:t xml:space="preserve"> e </w:t>
      </w:r>
      <w:r w:rsidRPr="00FB3143">
        <w:rPr>
          <w:sz w:val="24"/>
          <w:szCs w:val="24"/>
        </w:rPr>
        <w:t xml:space="preserve">poi diventano acquirenti delle riviste (in abbonamento) su cui essi pubblicano. Diversamente l’OA risponde alla logica per cui ciò che è finanziato con denaro pubblico deve essere </w:t>
      </w:r>
      <w:r w:rsidR="009B7F7C" w:rsidRPr="00FB3143">
        <w:rPr>
          <w:sz w:val="24"/>
          <w:szCs w:val="24"/>
        </w:rPr>
        <w:t xml:space="preserve">di pubblico accesso. </w:t>
      </w:r>
    </w:p>
    <w:p w14:paraId="618AEA85" w14:textId="77777777" w:rsidR="00E8347F" w:rsidRPr="00FB3143" w:rsidRDefault="008C6B94" w:rsidP="004B6D73">
      <w:pPr>
        <w:spacing w:after="0" w:line="240" w:lineRule="auto"/>
        <w:ind w:firstLine="284"/>
        <w:jc w:val="both"/>
        <w:rPr>
          <w:sz w:val="24"/>
          <w:szCs w:val="24"/>
        </w:rPr>
      </w:pPr>
      <w:r w:rsidRPr="00FB3143">
        <w:rPr>
          <w:sz w:val="24"/>
          <w:szCs w:val="24"/>
        </w:rPr>
        <w:t>Scegliere di pubblicare in OA sicuramente favorisce il superamento delle problematiche indicate. D</w:t>
      </w:r>
      <w:r w:rsidR="004B6D73" w:rsidRPr="00FB3143">
        <w:rPr>
          <w:sz w:val="24"/>
          <w:szCs w:val="24"/>
        </w:rPr>
        <w:t>al punto di vista dell’attuazione pratica, l’OA sfrutta, in termini di immediatezza della diffusione, di impatto e di gratuità, le potenzialità del web</w:t>
      </w:r>
      <w:r w:rsidR="00326CBD" w:rsidRPr="00FB3143">
        <w:rPr>
          <w:sz w:val="24"/>
          <w:szCs w:val="24"/>
        </w:rPr>
        <w:t xml:space="preserve">; </w:t>
      </w:r>
      <w:r w:rsidR="00086FB1" w:rsidRPr="00FB3143">
        <w:rPr>
          <w:sz w:val="24"/>
          <w:szCs w:val="24"/>
        </w:rPr>
        <w:t>ed</w:t>
      </w:r>
      <w:r w:rsidR="00086FB1" w:rsidRPr="00FB3143">
        <w:rPr>
          <w:color w:val="FF0000"/>
          <w:sz w:val="24"/>
          <w:szCs w:val="24"/>
        </w:rPr>
        <w:t xml:space="preserve"> </w:t>
      </w:r>
      <w:r w:rsidR="00086FB1" w:rsidRPr="00FB3143">
        <w:rPr>
          <w:sz w:val="24"/>
          <w:szCs w:val="24"/>
        </w:rPr>
        <w:t xml:space="preserve">è proprio grazie alla rete che il pubblicare in OA viene realizzato </w:t>
      </w:r>
      <w:r w:rsidR="004B6D73" w:rsidRPr="00FB3143">
        <w:rPr>
          <w:sz w:val="24"/>
          <w:szCs w:val="24"/>
        </w:rPr>
        <w:t>secondo due diverse modalità</w:t>
      </w:r>
      <w:r w:rsidR="002A000A" w:rsidRPr="00FB3143">
        <w:rPr>
          <w:sz w:val="24"/>
          <w:szCs w:val="24"/>
        </w:rPr>
        <w:t>: le riviste ad accesso aperto</w:t>
      </w:r>
      <w:r w:rsidR="003D13D8" w:rsidRPr="00FB3143">
        <w:rPr>
          <w:sz w:val="24"/>
          <w:szCs w:val="24"/>
        </w:rPr>
        <w:t xml:space="preserve">, </w:t>
      </w:r>
      <w:r w:rsidR="002A000A" w:rsidRPr="00FB3143">
        <w:rPr>
          <w:sz w:val="24"/>
          <w:szCs w:val="24"/>
        </w:rPr>
        <w:t xml:space="preserve">la </w:t>
      </w:r>
      <w:r w:rsidR="002A000A" w:rsidRPr="00FB3143">
        <w:rPr>
          <w:i/>
          <w:sz w:val="24"/>
          <w:szCs w:val="24"/>
        </w:rPr>
        <w:t>Gold road</w:t>
      </w:r>
      <w:r w:rsidR="003D13D8" w:rsidRPr="00FB3143">
        <w:rPr>
          <w:sz w:val="24"/>
          <w:szCs w:val="24"/>
        </w:rPr>
        <w:t xml:space="preserve">, </w:t>
      </w:r>
      <w:r w:rsidR="002A000A" w:rsidRPr="00FB3143">
        <w:rPr>
          <w:sz w:val="24"/>
          <w:szCs w:val="24"/>
        </w:rPr>
        <w:t xml:space="preserve">e gli archivi aperti, la </w:t>
      </w:r>
      <w:r w:rsidR="002A000A" w:rsidRPr="00FB3143">
        <w:rPr>
          <w:i/>
          <w:sz w:val="24"/>
          <w:szCs w:val="24"/>
        </w:rPr>
        <w:t>Green road</w:t>
      </w:r>
      <w:r w:rsidR="002A000A" w:rsidRPr="00FB3143">
        <w:rPr>
          <w:sz w:val="24"/>
          <w:szCs w:val="24"/>
        </w:rPr>
        <w:t xml:space="preserve">. </w:t>
      </w:r>
      <w:r w:rsidR="004B6D73" w:rsidRPr="00FB3143">
        <w:rPr>
          <w:sz w:val="24"/>
          <w:szCs w:val="24"/>
        </w:rPr>
        <w:t>Da un lato numerosi editori, geograficamente distribuiti nel mondo, sono entrati nel mercato delle riviste ad accesso aperto completamente finanziate da enti o da pubblicità, per cui gli autori possono scegliere di pubblicare presso tali editori, praticando cos</w:t>
      </w:r>
      <w:r w:rsidR="00FD03DB" w:rsidRPr="00FB3143">
        <w:rPr>
          <w:sz w:val="24"/>
          <w:szCs w:val="24"/>
        </w:rPr>
        <w:t xml:space="preserve">ì </w:t>
      </w:r>
      <w:r w:rsidR="004B6D73" w:rsidRPr="00FB3143">
        <w:rPr>
          <w:sz w:val="24"/>
          <w:szCs w:val="24"/>
        </w:rPr>
        <w:t xml:space="preserve">la via d’oro dell’OA. Dall’altro lato, da più di un decennio è cresciuto il </w:t>
      </w:r>
      <w:r w:rsidR="004B6D73" w:rsidRPr="00FB3143">
        <w:rPr>
          <w:sz w:val="24"/>
          <w:szCs w:val="24"/>
        </w:rPr>
        <w:lastRenderedPageBreak/>
        <w:t>numero delle istituzioni</w:t>
      </w:r>
      <w:r w:rsidR="007A5E68" w:rsidRPr="00FB3143">
        <w:rPr>
          <w:sz w:val="24"/>
          <w:szCs w:val="24"/>
        </w:rPr>
        <w:t xml:space="preserve"> </w:t>
      </w:r>
      <w:r w:rsidR="00B61ACF" w:rsidRPr="00FB3143">
        <w:rPr>
          <w:sz w:val="24"/>
          <w:szCs w:val="24"/>
        </w:rPr>
        <w:t>c</w:t>
      </w:r>
      <w:r w:rsidR="004B6D73" w:rsidRPr="00FB3143">
        <w:rPr>
          <w:sz w:val="24"/>
          <w:szCs w:val="24"/>
        </w:rPr>
        <w:t xml:space="preserve">he si sono dotate di </w:t>
      </w:r>
      <w:r w:rsidR="00526548" w:rsidRPr="00FB3143">
        <w:rPr>
          <w:sz w:val="24"/>
          <w:szCs w:val="24"/>
        </w:rPr>
        <w:t>archivi</w:t>
      </w:r>
      <w:r w:rsidR="00D86B3E" w:rsidRPr="00FB3143">
        <w:rPr>
          <w:sz w:val="24"/>
          <w:szCs w:val="24"/>
        </w:rPr>
        <w:t xml:space="preserve"> elettronici aperti sia di tipo </w:t>
      </w:r>
      <w:r w:rsidR="00526548" w:rsidRPr="00FB3143">
        <w:rPr>
          <w:sz w:val="24"/>
          <w:szCs w:val="24"/>
        </w:rPr>
        <w:t>istituzionale (</w:t>
      </w:r>
      <w:proofErr w:type="spellStart"/>
      <w:r w:rsidR="007D31A6" w:rsidRPr="00FB3143">
        <w:rPr>
          <w:i/>
          <w:sz w:val="24"/>
          <w:szCs w:val="24"/>
        </w:rPr>
        <w:t>I</w:t>
      </w:r>
      <w:r w:rsidR="004B6D73" w:rsidRPr="00FB3143">
        <w:rPr>
          <w:i/>
          <w:sz w:val="24"/>
          <w:szCs w:val="24"/>
        </w:rPr>
        <w:t>nstitutional</w:t>
      </w:r>
      <w:proofErr w:type="spellEnd"/>
      <w:r w:rsidR="004B6D73" w:rsidRPr="00FB3143">
        <w:rPr>
          <w:i/>
          <w:sz w:val="24"/>
          <w:szCs w:val="24"/>
        </w:rPr>
        <w:t xml:space="preserve"> </w:t>
      </w:r>
      <w:proofErr w:type="spellStart"/>
      <w:r w:rsidR="007D31A6" w:rsidRPr="00FB3143">
        <w:rPr>
          <w:i/>
          <w:sz w:val="24"/>
          <w:szCs w:val="24"/>
        </w:rPr>
        <w:t>R</w:t>
      </w:r>
      <w:r w:rsidR="004B6D73" w:rsidRPr="00FB3143">
        <w:rPr>
          <w:i/>
          <w:sz w:val="24"/>
          <w:szCs w:val="24"/>
        </w:rPr>
        <w:t>epository</w:t>
      </w:r>
      <w:proofErr w:type="spellEnd"/>
      <w:r w:rsidR="00B61ACF" w:rsidRPr="00FB3143">
        <w:rPr>
          <w:i/>
          <w:sz w:val="24"/>
          <w:szCs w:val="24"/>
        </w:rPr>
        <w:t xml:space="preserve">, </w:t>
      </w:r>
      <w:r w:rsidR="00B61ACF" w:rsidRPr="00FB3143">
        <w:rPr>
          <w:sz w:val="24"/>
          <w:szCs w:val="24"/>
        </w:rPr>
        <w:t>IR</w:t>
      </w:r>
      <w:r w:rsidR="00526548" w:rsidRPr="00FB3143">
        <w:rPr>
          <w:sz w:val="24"/>
          <w:szCs w:val="24"/>
        </w:rPr>
        <w:t xml:space="preserve">) </w:t>
      </w:r>
      <w:r w:rsidR="00D86B3E" w:rsidRPr="00FB3143">
        <w:rPr>
          <w:sz w:val="24"/>
          <w:szCs w:val="24"/>
        </w:rPr>
        <w:t>sia di tipo d</w:t>
      </w:r>
      <w:r w:rsidR="004B6D73" w:rsidRPr="00FB3143">
        <w:rPr>
          <w:sz w:val="24"/>
          <w:szCs w:val="24"/>
        </w:rPr>
        <w:t>isciplinar</w:t>
      </w:r>
      <w:r w:rsidR="00D86B3E" w:rsidRPr="00FB3143">
        <w:rPr>
          <w:sz w:val="24"/>
          <w:szCs w:val="24"/>
        </w:rPr>
        <w:t xml:space="preserve">e, al fine di </w:t>
      </w:r>
      <w:r w:rsidR="004B6D73" w:rsidRPr="00FB3143">
        <w:rPr>
          <w:sz w:val="24"/>
          <w:szCs w:val="24"/>
        </w:rPr>
        <w:t>disseminare in modalità open</w:t>
      </w:r>
      <w:r w:rsidR="00D37676" w:rsidRPr="00FB3143">
        <w:rPr>
          <w:sz w:val="24"/>
          <w:szCs w:val="24"/>
        </w:rPr>
        <w:t xml:space="preserve"> </w:t>
      </w:r>
      <w:r w:rsidR="004B6D73" w:rsidRPr="00FB3143">
        <w:rPr>
          <w:sz w:val="24"/>
          <w:szCs w:val="24"/>
        </w:rPr>
        <w:t>i prodotti della ricerca dei loro studiosi.</w:t>
      </w:r>
      <w:r w:rsidR="00D37676" w:rsidRPr="00FB3143">
        <w:rPr>
          <w:sz w:val="24"/>
          <w:szCs w:val="24"/>
        </w:rPr>
        <w:t xml:space="preserve"> In tal caso sono gli autori stessi che </w:t>
      </w:r>
      <w:proofErr w:type="spellStart"/>
      <w:r w:rsidR="00526548" w:rsidRPr="00FB3143">
        <w:rPr>
          <w:sz w:val="24"/>
          <w:szCs w:val="24"/>
        </w:rPr>
        <w:t>ri</w:t>
      </w:r>
      <w:proofErr w:type="spellEnd"/>
      <w:r w:rsidR="00526548" w:rsidRPr="00FB3143">
        <w:rPr>
          <w:sz w:val="24"/>
          <w:szCs w:val="24"/>
        </w:rPr>
        <w:t xml:space="preserve">-pubblicano o </w:t>
      </w:r>
      <w:proofErr w:type="spellStart"/>
      <w:r w:rsidR="00526548" w:rsidRPr="00FB3143">
        <w:rPr>
          <w:sz w:val="24"/>
          <w:szCs w:val="24"/>
        </w:rPr>
        <w:t>autoarchiviano</w:t>
      </w:r>
      <w:proofErr w:type="spellEnd"/>
      <w:r w:rsidR="00526548" w:rsidRPr="00FB3143">
        <w:rPr>
          <w:sz w:val="24"/>
          <w:szCs w:val="24"/>
        </w:rPr>
        <w:t xml:space="preserve"> </w:t>
      </w:r>
      <w:r w:rsidR="00D37676" w:rsidRPr="00FB3143">
        <w:rPr>
          <w:sz w:val="24"/>
          <w:szCs w:val="24"/>
        </w:rPr>
        <w:t>i propri contributi</w:t>
      </w:r>
      <w:r w:rsidR="00FF4822" w:rsidRPr="00FB3143">
        <w:rPr>
          <w:sz w:val="24"/>
          <w:szCs w:val="24"/>
        </w:rPr>
        <w:t xml:space="preserve"> </w:t>
      </w:r>
      <w:r w:rsidR="00526548" w:rsidRPr="00FB3143">
        <w:rPr>
          <w:sz w:val="24"/>
          <w:szCs w:val="24"/>
        </w:rPr>
        <w:t xml:space="preserve">in modalità aperta, ove compatibile con la tipologia di contratto stipulato con l’editore, </w:t>
      </w:r>
      <w:r w:rsidR="00D37676" w:rsidRPr="00FB3143">
        <w:rPr>
          <w:sz w:val="24"/>
          <w:szCs w:val="24"/>
        </w:rPr>
        <w:t xml:space="preserve">nel suddetto </w:t>
      </w:r>
      <w:proofErr w:type="spellStart"/>
      <w:r w:rsidR="00D37676" w:rsidRPr="00FB3143">
        <w:rPr>
          <w:i/>
          <w:sz w:val="24"/>
          <w:szCs w:val="24"/>
        </w:rPr>
        <w:t>repository</w:t>
      </w:r>
      <w:proofErr w:type="spellEnd"/>
      <w:r w:rsidR="00D37676" w:rsidRPr="00FB3143">
        <w:rPr>
          <w:sz w:val="24"/>
          <w:szCs w:val="24"/>
        </w:rPr>
        <w:t xml:space="preserve"> istituzionale</w:t>
      </w:r>
      <w:r w:rsidR="00526548" w:rsidRPr="00FB3143">
        <w:rPr>
          <w:sz w:val="24"/>
          <w:szCs w:val="24"/>
        </w:rPr>
        <w:t xml:space="preserve">, </w:t>
      </w:r>
      <w:r w:rsidR="00D37676" w:rsidRPr="00FB3143">
        <w:rPr>
          <w:sz w:val="24"/>
          <w:szCs w:val="24"/>
        </w:rPr>
        <w:t>praticando così la via verde dell’OA</w:t>
      </w:r>
      <w:r w:rsidR="00E8347F" w:rsidRPr="00FB3143">
        <w:rPr>
          <w:sz w:val="24"/>
          <w:szCs w:val="24"/>
        </w:rPr>
        <w:t xml:space="preserve">. </w:t>
      </w:r>
      <w:r w:rsidR="00C9593D" w:rsidRPr="00FB3143">
        <w:rPr>
          <w:sz w:val="24"/>
          <w:szCs w:val="24"/>
        </w:rPr>
        <w:t>La via verde permette a</w:t>
      </w:r>
      <w:r w:rsidR="00E0273F" w:rsidRPr="00FB3143">
        <w:rPr>
          <w:sz w:val="24"/>
          <w:szCs w:val="24"/>
        </w:rPr>
        <w:t xml:space="preserve">gli autori </w:t>
      </w:r>
      <w:r w:rsidR="00C9593D" w:rsidRPr="00FB3143">
        <w:rPr>
          <w:sz w:val="24"/>
          <w:szCs w:val="24"/>
        </w:rPr>
        <w:t>di archiviare,</w:t>
      </w:r>
      <w:r w:rsidR="0020587A" w:rsidRPr="00FB3143">
        <w:rPr>
          <w:sz w:val="24"/>
          <w:szCs w:val="24"/>
        </w:rPr>
        <w:t xml:space="preserve"> </w:t>
      </w:r>
      <w:r w:rsidR="00C9593D" w:rsidRPr="00FB3143">
        <w:rPr>
          <w:sz w:val="24"/>
          <w:szCs w:val="24"/>
        </w:rPr>
        <w:t>attraverso un procedimento semplice ed intuitivo, il full-text della propria ricerca in modo tale che sia immediatamente visibile, ricercabile e utilizzabile dalla comunità scientifica. In questo modo, mediante il deposito nell’</w:t>
      </w:r>
      <w:r w:rsidR="00FF4822" w:rsidRPr="00FB3143">
        <w:rPr>
          <w:sz w:val="24"/>
          <w:szCs w:val="24"/>
        </w:rPr>
        <w:t xml:space="preserve">IR, </w:t>
      </w:r>
      <w:r w:rsidR="00C9593D" w:rsidRPr="00FB3143">
        <w:rPr>
          <w:sz w:val="24"/>
          <w:szCs w:val="24"/>
        </w:rPr>
        <w:t xml:space="preserve">è possibile gettare le basi per una riappropriazione dei contributi da parte delle Istituzioni che li hanno prodotti </w:t>
      </w:r>
      <w:r w:rsidR="00E0273F" w:rsidRPr="00FB3143">
        <w:rPr>
          <w:sz w:val="24"/>
          <w:szCs w:val="24"/>
        </w:rPr>
        <w:t xml:space="preserve">e finanziati. </w:t>
      </w:r>
    </w:p>
    <w:p w14:paraId="2953E9ED" w14:textId="77777777" w:rsidR="00C9593D" w:rsidRPr="00FB3143" w:rsidRDefault="00E8347F" w:rsidP="00A03198">
      <w:pPr>
        <w:spacing w:after="0" w:line="240" w:lineRule="auto"/>
        <w:ind w:firstLine="284"/>
        <w:jc w:val="both"/>
        <w:rPr>
          <w:color w:val="0070C0"/>
          <w:sz w:val="24"/>
          <w:szCs w:val="24"/>
        </w:rPr>
      </w:pPr>
      <w:r w:rsidRPr="00FB3143">
        <w:rPr>
          <w:sz w:val="24"/>
          <w:szCs w:val="24"/>
        </w:rPr>
        <w:t xml:space="preserve">A proposito di </w:t>
      </w:r>
      <w:r w:rsidR="00D262D0" w:rsidRPr="00FB3143">
        <w:rPr>
          <w:sz w:val="24"/>
          <w:szCs w:val="24"/>
        </w:rPr>
        <w:t xml:space="preserve">IR, </w:t>
      </w:r>
      <w:r w:rsidRPr="00FB3143">
        <w:rPr>
          <w:sz w:val="24"/>
          <w:szCs w:val="24"/>
        </w:rPr>
        <w:t xml:space="preserve">in </w:t>
      </w:r>
      <w:r w:rsidR="004B6D73" w:rsidRPr="00FB3143">
        <w:rPr>
          <w:sz w:val="24"/>
          <w:szCs w:val="24"/>
        </w:rPr>
        <w:t>Italia, come sostiene Annamaria Gotti</w:t>
      </w:r>
      <w:r w:rsidR="00747E55" w:rsidRPr="00FB3143">
        <w:rPr>
          <w:rStyle w:val="Rimandonotaapidipagina"/>
          <w:sz w:val="24"/>
          <w:szCs w:val="24"/>
        </w:rPr>
        <w:footnoteReference w:id="2"/>
      </w:r>
      <w:r w:rsidR="00D262D0" w:rsidRPr="00FB3143">
        <w:rPr>
          <w:sz w:val="24"/>
          <w:szCs w:val="24"/>
        </w:rPr>
        <w:t xml:space="preserve">, </w:t>
      </w:r>
      <w:r w:rsidR="004B6D73" w:rsidRPr="00FB3143">
        <w:rPr>
          <w:sz w:val="24"/>
          <w:szCs w:val="24"/>
        </w:rPr>
        <w:t>il termine inglese è stato reso almeno  con tre espressioni: a) la prima è archivio istituzionale nell'accezione proposta da Guerrini, per il quale esso</w:t>
      </w:r>
      <w:r w:rsidR="00D262D0" w:rsidRPr="00FB3143">
        <w:rPr>
          <w:sz w:val="24"/>
          <w:szCs w:val="24"/>
        </w:rPr>
        <w:t xml:space="preserve"> </w:t>
      </w:r>
      <w:r w:rsidR="005D1708" w:rsidRPr="00FB3143">
        <w:rPr>
          <w:sz w:val="24"/>
          <w:szCs w:val="24"/>
        </w:rPr>
        <w:t>«</w:t>
      </w:r>
      <w:r w:rsidR="004B6D73" w:rsidRPr="00FB3143">
        <w:rPr>
          <w:sz w:val="24"/>
          <w:szCs w:val="24"/>
        </w:rPr>
        <w:t xml:space="preserve">è una collezione di risorse digitali full-text realizzata e gestita da una o più </w:t>
      </w:r>
      <w:r w:rsidR="00F76143" w:rsidRPr="00FB3143">
        <w:rPr>
          <w:sz w:val="24"/>
          <w:szCs w:val="24"/>
        </w:rPr>
        <w:t>università</w:t>
      </w:r>
      <w:r w:rsidR="004B6D73" w:rsidRPr="00FB3143">
        <w:rPr>
          <w:sz w:val="24"/>
          <w:szCs w:val="24"/>
        </w:rPr>
        <w:t xml:space="preserve"> (o da altri istituti) che contiene i risultati di ricerche originali finanziate con denaro pubblico e privato, prodotte nell’ambito dell’attività istituzionale da docenti, ricercatori, dottori di ricerca e altri soggett</w:t>
      </w:r>
      <w:r w:rsidR="00916FAA" w:rsidRPr="00FB3143">
        <w:rPr>
          <w:sz w:val="24"/>
          <w:szCs w:val="24"/>
        </w:rPr>
        <w:t>i</w:t>
      </w:r>
      <w:r w:rsidR="00FE00A1" w:rsidRPr="00FB3143">
        <w:rPr>
          <w:sz w:val="24"/>
          <w:szCs w:val="24"/>
        </w:rPr>
        <w:t>»</w:t>
      </w:r>
      <w:r w:rsidR="00D262D0" w:rsidRPr="00FB3143">
        <w:rPr>
          <w:rStyle w:val="Rimandonotaapidipagina"/>
          <w:sz w:val="24"/>
          <w:szCs w:val="24"/>
        </w:rPr>
        <w:footnoteReference w:id="3"/>
      </w:r>
      <w:r w:rsidR="00D262D0" w:rsidRPr="00FB3143">
        <w:rPr>
          <w:sz w:val="24"/>
          <w:szCs w:val="24"/>
        </w:rPr>
        <w:t xml:space="preserve">; </w:t>
      </w:r>
      <w:r w:rsidR="004B6D73" w:rsidRPr="00FB3143">
        <w:rPr>
          <w:sz w:val="24"/>
          <w:szCs w:val="24"/>
        </w:rPr>
        <w:t xml:space="preserve">b) la seconda è deposito istituzionale </w:t>
      </w:r>
      <w:r w:rsidRPr="00FB3143">
        <w:rPr>
          <w:sz w:val="24"/>
          <w:szCs w:val="24"/>
        </w:rPr>
        <w:t xml:space="preserve">nell’accezione </w:t>
      </w:r>
      <w:r w:rsidR="004B6D73" w:rsidRPr="00FB3143">
        <w:rPr>
          <w:sz w:val="24"/>
          <w:szCs w:val="24"/>
        </w:rPr>
        <w:t>usata nel wiki O</w:t>
      </w:r>
      <w:r w:rsidR="00AC2AFB" w:rsidRPr="00FB3143">
        <w:rPr>
          <w:sz w:val="24"/>
          <w:szCs w:val="24"/>
        </w:rPr>
        <w:t>pen Archive OA</w:t>
      </w:r>
      <w:r w:rsidR="004B6D73" w:rsidRPr="00FB3143">
        <w:rPr>
          <w:sz w:val="24"/>
          <w:szCs w:val="24"/>
        </w:rPr>
        <w:t xml:space="preserve">/Italia, per cui esso si identifica con </w:t>
      </w:r>
      <w:r w:rsidR="005D1708" w:rsidRPr="00FB3143">
        <w:rPr>
          <w:sz w:val="24"/>
          <w:szCs w:val="24"/>
        </w:rPr>
        <w:t>«</w:t>
      </w:r>
      <w:r w:rsidR="004B6D73" w:rsidRPr="00FB3143">
        <w:rPr>
          <w:sz w:val="24"/>
          <w:szCs w:val="24"/>
        </w:rPr>
        <w:t>… archivi digitali che consentono l’</w:t>
      </w:r>
      <w:proofErr w:type="spellStart"/>
      <w:r w:rsidR="004B6D73" w:rsidRPr="00FB3143">
        <w:rPr>
          <w:sz w:val="24"/>
          <w:szCs w:val="24"/>
        </w:rPr>
        <w:t>autoarchiviazione</w:t>
      </w:r>
      <w:proofErr w:type="spellEnd"/>
      <w:r w:rsidR="004B6D73" w:rsidRPr="00FB3143">
        <w:rPr>
          <w:sz w:val="24"/>
          <w:szCs w:val="24"/>
        </w:rPr>
        <w:t xml:space="preserve"> immediata dei risultati della ricerca scientifica prodotta in un’</w:t>
      </w:r>
      <w:r w:rsidR="00F76143" w:rsidRPr="00FB3143">
        <w:rPr>
          <w:sz w:val="24"/>
          <w:szCs w:val="24"/>
        </w:rPr>
        <w:t>università</w:t>
      </w:r>
      <w:r w:rsidR="004B6D73" w:rsidRPr="00FB3143">
        <w:rPr>
          <w:sz w:val="24"/>
          <w:szCs w:val="24"/>
        </w:rPr>
        <w:t xml:space="preserve">, grazie al deposito sia dei </w:t>
      </w:r>
      <w:proofErr w:type="spellStart"/>
      <w:r w:rsidR="004B6D73" w:rsidRPr="00FB3143">
        <w:rPr>
          <w:i/>
          <w:sz w:val="24"/>
          <w:szCs w:val="24"/>
        </w:rPr>
        <w:t>preprints</w:t>
      </w:r>
      <w:proofErr w:type="spellEnd"/>
      <w:r w:rsidR="004B6D73" w:rsidRPr="00FB3143">
        <w:rPr>
          <w:i/>
          <w:sz w:val="24"/>
          <w:szCs w:val="24"/>
        </w:rPr>
        <w:t xml:space="preserve"> </w:t>
      </w:r>
      <w:r w:rsidR="004B6D73" w:rsidRPr="00FB3143">
        <w:rPr>
          <w:sz w:val="24"/>
          <w:szCs w:val="24"/>
        </w:rPr>
        <w:t xml:space="preserve">sia dei </w:t>
      </w:r>
      <w:proofErr w:type="spellStart"/>
      <w:r w:rsidR="004B6D73" w:rsidRPr="00FB3143">
        <w:rPr>
          <w:i/>
          <w:sz w:val="24"/>
          <w:szCs w:val="24"/>
        </w:rPr>
        <w:t>postprints</w:t>
      </w:r>
      <w:proofErr w:type="spellEnd"/>
      <w:r w:rsidR="004B6D73" w:rsidRPr="00FB3143">
        <w:rPr>
          <w:sz w:val="24"/>
          <w:szCs w:val="24"/>
        </w:rPr>
        <w:t xml:space="preserve">, ove concesso. </w:t>
      </w:r>
      <w:r w:rsidRPr="00FB3143">
        <w:rPr>
          <w:sz w:val="24"/>
          <w:szCs w:val="24"/>
        </w:rPr>
        <w:t xml:space="preserve">Inoltre le </w:t>
      </w:r>
      <w:r w:rsidR="004B6D73" w:rsidRPr="00FB3143">
        <w:rPr>
          <w:sz w:val="24"/>
          <w:szCs w:val="24"/>
        </w:rPr>
        <w:t xml:space="preserve">enormi potenzialità offerte da questi strumenti consentono di utilizzare i depositi istituzionali anche per archiviare tutta la letteratura grigia prodotta nelle </w:t>
      </w:r>
      <w:r w:rsidR="00F76143" w:rsidRPr="00FB3143">
        <w:rPr>
          <w:sz w:val="24"/>
          <w:szCs w:val="24"/>
        </w:rPr>
        <w:t>università</w:t>
      </w:r>
      <w:r w:rsidR="004B6D73" w:rsidRPr="00FB3143">
        <w:rPr>
          <w:sz w:val="24"/>
          <w:szCs w:val="24"/>
        </w:rPr>
        <w:t xml:space="preserve"> ed utilizzata ai fini della ricerca e/o della didattica, come, per esempio, tesi e dissertazioni, brevetti, </w:t>
      </w:r>
      <w:proofErr w:type="spellStart"/>
      <w:r w:rsidR="004B6D73" w:rsidRPr="00FB3143">
        <w:rPr>
          <w:i/>
          <w:sz w:val="24"/>
          <w:szCs w:val="24"/>
        </w:rPr>
        <w:t>working</w:t>
      </w:r>
      <w:proofErr w:type="spellEnd"/>
      <w:r w:rsidR="004B6D73" w:rsidRPr="00FB3143">
        <w:rPr>
          <w:i/>
          <w:sz w:val="24"/>
          <w:szCs w:val="24"/>
        </w:rPr>
        <w:t xml:space="preserve"> </w:t>
      </w:r>
      <w:proofErr w:type="spellStart"/>
      <w:r w:rsidR="004B6D73" w:rsidRPr="00FB3143">
        <w:rPr>
          <w:i/>
          <w:sz w:val="24"/>
          <w:szCs w:val="24"/>
        </w:rPr>
        <w:t>papers</w:t>
      </w:r>
      <w:proofErr w:type="spellEnd"/>
      <w:r w:rsidR="004B6D73" w:rsidRPr="00FB3143">
        <w:rPr>
          <w:sz w:val="24"/>
          <w:szCs w:val="24"/>
        </w:rPr>
        <w:t>, atti di convegni, materiale didattico</w:t>
      </w:r>
      <w:r w:rsidR="00FE00A1" w:rsidRPr="00FB3143">
        <w:rPr>
          <w:sz w:val="24"/>
          <w:szCs w:val="24"/>
        </w:rPr>
        <w:t>»</w:t>
      </w:r>
      <w:r w:rsidR="004B6D73" w:rsidRPr="00FB3143">
        <w:rPr>
          <w:sz w:val="24"/>
          <w:szCs w:val="24"/>
        </w:rPr>
        <w:t xml:space="preserve">; c) la terza è </w:t>
      </w:r>
      <w:proofErr w:type="spellStart"/>
      <w:r w:rsidR="004B6D73" w:rsidRPr="00FB3143">
        <w:rPr>
          <w:i/>
          <w:sz w:val="24"/>
          <w:szCs w:val="24"/>
        </w:rPr>
        <w:t>repository</w:t>
      </w:r>
      <w:proofErr w:type="spellEnd"/>
      <w:r w:rsidR="004B6D73" w:rsidRPr="00FB3143">
        <w:rPr>
          <w:i/>
          <w:sz w:val="24"/>
          <w:szCs w:val="24"/>
        </w:rPr>
        <w:t xml:space="preserve"> </w:t>
      </w:r>
      <w:r w:rsidR="004B6D73" w:rsidRPr="00FB3143">
        <w:rPr>
          <w:sz w:val="24"/>
          <w:szCs w:val="24"/>
        </w:rPr>
        <w:t xml:space="preserve">istituzionale rintracciabile nelle Linee guida per la creazione e la gestione di metadati nei </w:t>
      </w:r>
      <w:proofErr w:type="spellStart"/>
      <w:r w:rsidR="004B6D73" w:rsidRPr="00FB3143">
        <w:rPr>
          <w:sz w:val="24"/>
          <w:szCs w:val="24"/>
        </w:rPr>
        <w:t>r</w:t>
      </w:r>
      <w:r w:rsidR="004B6D73" w:rsidRPr="00FB3143">
        <w:rPr>
          <w:i/>
          <w:sz w:val="24"/>
          <w:szCs w:val="24"/>
        </w:rPr>
        <w:t>epositor</w:t>
      </w:r>
      <w:r w:rsidR="009B6B5F" w:rsidRPr="00FB3143">
        <w:rPr>
          <w:i/>
          <w:sz w:val="24"/>
          <w:szCs w:val="24"/>
        </w:rPr>
        <w:t>ies</w:t>
      </w:r>
      <w:proofErr w:type="spellEnd"/>
      <w:r w:rsidR="009B6B5F" w:rsidRPr="00FB3143">
        <w:rPr>
          <w:i/>
          <w:sz w:val="24"/>
          <w:szCs w:val="24"/>
        </w:rPr>
        <w:t xml:space="preserve"> </w:t>
      </w:r>
      <w:r w:rsidR="004B6D73" w:rsidRPr="00FB3143">
        <w:rPr>
          <w:i/>
          <w:sz w:val="24"/>
          <w:szCs w:val="24"/>
        </w:rPr>
        <w:t xml:space="preserve"> </w:t>
      </w:r>
      <w:r w:rsidR="004B6D73" w:rsidRPr="00FB3143">
        <w:rPr>
          <w:sz w:val="24"/>
          <w:szCs w:val="24"/>
        </w:rPr>
        <w:t>istituzionali elaborate dalla Commissione Biblioteche della CRUI (febbraio 2012)</w:t>
      </w:r>
      <w:r w:rsidR="00916FAA" w:rsidRPr="00FB3143">
        <w:rPr>
          <w:sz w:val="24"/>
          <w:szCs w:val="24"/>
        </w:rPr>
        <w:t>,</w:t>
      </w:r>
      <w:r w:rsidR="00095359" w:rsidRPr="00FB3143">
        <w:rPr>
          <w:sz w:val="24"/>
          <w:szCs w:val="24"/>
        </w:rPr>
        <w:t xml:space="preserve"> che in premessa, citando l</w:t>
      </w:r>
      <w:r w:rsidR="00916FAA" w:rsidRPr="00FB3143">
        <w:rPr>
          <w:sz w:val="24"/>
          <w:szCs w:val="24"/>
        </w:rPr>
        <w:t>’assunto delle Linee guida per gli archivi istituzion</w:t>
      </w:r>
      <w:r w:rsidR="00327890" w:rsidRPr="00FB3143">
        <w:rPr>
          <w:sz w:val="24"/>
          <w:szCs w:val="24"/>
        </w:rPr>
        <w:t xml:space="preserve">ali </w:t>
      </w:r>
      <w:r w:rsidR="00916FAA" w:rsidRPr="00FB3143">
        <w:rPr>
          <w:sz w:val="24"/>
          <w:szCs w:val="24"/>
        </w:rPr>
        <w:t xml:space="preserve">del 2009 della stessa Commissione CRUI, </w:t>
      </w:r>
      <w:r w:rsidR="00095359" w:rsidRPr="00FB3143">
        <w:rPr>
          <w:sz w:val="24"/>
          <w:szCs w:val="24"/>
        </w:rPr>
        <w:t>affermano</w:t>
      </w:r>
      <w:r w:rsidR="00300CBD" w:rsidRPr="00FB3143">
        <w:rPr>
          <w:sz w:val="24"/>
          <w:szCs w:val="24"/>
        </w:rPr>
        <w:t xml:space="preserve">, </w:t>
      </w:r>
      <w:r w:rsidR="00095359" w:rsidRPr="00FB3143">
        <w:rPr>
          <w:sz w:val="24"/>
          <w:szCs w:val="24"/>
        </w:rPr>
        <w:t xml:space="preserve">che </w:t>
      </w:r>
      <w:r w:rsidR="00916FAA" w:rsidRPr="00FB3143">
        <w:rPr>
          <w:sz w:val="24"/>
          <w:szCs w:val="24"/>
        </w:rPr>
        <w:t xml:space="preserve">l’IR ad accesso aperto è lo strumento che </w:t>
      </w:r>
      <w:r w:rsidR="005D1708" w:rsidRPr="00FB3143">
        <w:rPr>
          <w:sz w:val="24"/>
          <w:szCs w:val="24"/>
        </w:rPr>
        <w:t>«</w:t>
      </w:r>
      <w:r w:rsidR="00916FAA" w:rsidRPr="00FB3143">
        <w:rPr>
          <w:sz w:val="24"/>
          <w:szCs w:val="24"/>
        </w:rPr>
        <w:t xml:space="preserve">raccoglie in un unico luogo tutta la produzione scientifica di un ateneo </w:t>
      </w:r>
      <w:r w:rsidR="00327890" w:rsidRPr="00FB3143">
        <w:rPr>
          <w:sz w:val="24"/>
          <w:szCs w:val="24"/>
        </w:rPr>
        <w:t>[</w:t>
      </w:r>
      <w:r w:rsidR="00916FAA" w:rsidRPr="00FB3143">
        <w:rPr>
          <w:sz w:val="24"/>
          <w:szCs w:val="24"/>
        </w:rPr>
        <w:t>…</w:t>
      </w:r>
      <w:r w:rsidR="00327890" w:rsidRPr="00FB3143">
        <w:rPr>
          <w:sz w:val="24"/>
          <w:szCs w:val="24"/>
        </w:rPr>
        <w:t>]</w:t>
      </w:r>
      <w:r w:rsidR="00916FAA" w:rsidRPr="00FB3143">
        <w:rPr>
          <w:sz w:val="24"/>
          <w:szCs w:val="24"/>
        </w:rPr>
        <w:t xml:space="preserve"> assicurandone nel contempo la persistenza in rete e la conservazione a lungo termine</w:t>
      </w:r>
      <w:r w:rsidR="004865E3" w:rsidRPr="00FB3143">
        <w:rPr>
          <w:rStyle w:val="Rimandonotaapidipagina"/>
          <w:sz w:val="24"/>
          <w:szCs w:val="24"/>
        </w:rPr>
        <w:footnoteReference w:id="4"/>
      </w:r>
      <w:r w:rsidR="00FE00A1" w:rsidRPr="00FB3143">
        <w:rPr>
          <w:sz w:val="24"/>
          <w:szCs w:val="24"/>
        </w:rPr>
        <w:t>»</w:t>
      </w:r>
      <w:r w:rsidR="00095359" w:rsidRPr="00FB3143">
        <w:rPr>
          <w:sz w:val="24"/>
          <w:szCs w:val="24"/>
        </w:rPr>
        <w:t>.</w:t>
      </w:r>
    </w:p>
    <w:p w14:paraId="1341FB5F" w14:textId="1B257097" w:rsidR="00BE0AD3" w:rsidRDefault="00BE0AD3" w:rsidP="00A03198">
      <w:pPr>
        <w:spacing w:after="0"/>
        <w:ind w:firstLine="284"/>
        <w:jc w:val="both"/>
        <w:rPr>
          <w:sz w:val="24"/>
          <w:szCs w:val="24"/>
        </w:rPr>
      </w:pPr>
    </w:p>
    <w:p w14:paraId="065D163E" w14:textId="77777777" w:rsidR="0081302F" w:rsidRPr="00FB3143" w:rsidRDefault="0081302F" w:rsidP="00A03198">
      <w:pPr>
        <w:spacing w:after="0"/>
        <w:ind w:firstLine="284"/>
        <w:jc w:val="both"/>
        <w:rPr>
          <w:sz w:val="24"/>
          <w:szCs w:val="24"/>
        </w:rPr>
      </w:pPr>
    </w:p>
    <w:p w14:paraId="65552FEB" w14:textId="77777777" w:rsidR="00F9527D" w:rsidRPr="00FB3143" w:rsidRDefault="00AE18B7" w:rsidP="00203866">
      <w:pPr>
        <w:pStyle w:val="Paragrafoelenco"/>
        <w:numPr>
          <w:ilvl w:val="0"/>
          <w:numId w:val="5"/>
        </w:numPr>
        <w:spacing w:after="0"/>
        <w:rPr>
          <w:i/>
          <w:sz w:val="24"/>
          <w:szCs w:val="24"/>
        </w:rPr>
      </w:pPr>
      <w:r w:rsidRPr="00FB3143">
        <w:rPr>
          <w:i/>
          <w:sz w:val="24"/>
          <w:szCs w:val="24"/>
        </w:rPr>
        <w:t>Valutazione</w:t>
      </w:r>
      <w:r w:rsidR="00203866" w:rsidRPr="00FB3143">
        <w:rPr>
          <w:i/>
          <w:sz w:val="24"/>
          <w:szCs w:val="24"/>
        </w:rPr>
        <w:t xml:space="preserve"> </w:t>
      </w:r>
      <w:proofErr w:type="gramStart"/>
      <w:r w:rsidR="00203866" w:rsidRPr="00FB3143">
        <w:rPr>
          <w:i/>
          <w:sz w:val="24"/>
          <w:szCs w:val="24"/>
        </w:rPr>
        <w:t xml:space="preserve">ed </w:t>
      </w:r>
      <w:r w:rsidR="001C59E3" w:rsidRPr="00FB3143">
        <w:rPr>
          <w:i/>
          <w:sz w:val="24"/>
          <w:szCs w:val="24"/>
        </w:rPr>
        <w:t xml:space="preserve"> </w:t>
      </w:r>
      <w:r w:rsidR="00203866" w:rsidRPr="00FB3143">
        <w:rPr>
          <w:i/>
          <w:sz w:val="24"/>
          <w:szCs w:val="24"/>
        </w:rPr>
        <w:t>OA</w:t>
      </w:r>
      <w:proofErr w:type="gramEnd"/>
      <w:r w:rsidR="009F098B" w:rsidRPr="00FB3143">
        <w:rPr>
          <w:i/>
          <w:sz w:val="24"/>
          <w:szCs w:val="24"/>
        </w:rPr>
        <w:t>: p</w:t>
      </w:r>
      <w:r w:rsidRPr="00FB3143">
        <w:rPr>
          <w:i/>
          <w:sz w:val="24"/>
          <w:szCs w:val="24"/>
        </w:rPr>
        <w:t>ossibili conciliazioni</w:t>
      </w:r>
      <w:r w:rsidR="00502012" w:rsidRPr="00FB3143">
        <w:rPr>
          <w:i/>
          <w:sz w:val="24"/>
          <w:szCs w:val="24"/>
        </w:rPr>
        <w:t xml:space="preserve"> </w:t>
      </w:r>
    </w:p>
    <w:p w14:paraId="101C445C" w14:textId="77777777" w:rsidR="00917DFA" w:rsidRPr="00FB3143" w:rsidRDefault="00917DFA" w:rsidP="002164CE">
      <w:pPr>
        <w:spacing w:after="0"/>
        <w:rPr>
          <w:sz w:val="24"/>
          <w:szCs w:val="24"/>
        </w:rPr>
      </w:pPr>
    </w:p>
    <w:p w14:paraId="277725CF" w14:textId="77777777" w:rsidR="00B66690" w:rsidRPr="00FB3143" w:rsidRDefault="00F9527D" w:rsidP="00EB789C">
      <w:pPr>
        <w:spacing w:after="0" w:line="240" w:lineRule="auto"/>
        <w:ind w:firstLine="284"/>
        <w:jc w:val="both"/>
        <w:rPr>
          <w:sz w:val="24"/>
          <w:szCs w:val="24"/>
        </w:rPr>
      </w:pPr>
      <w:r w:rsidRPr="00FB3143">
        <w:rPr>
          <w:sz w:val="24"/>
          <w:szCs w:val="24"/>
        </w:rPr>
        <w:t>Nel contesto nazionale u</w:t>
      </w:r>
      <w:r w:rsidR="00B66690" w:rsidRPr="00FB3143">
        <w:rPr>
          <w:sz w:val="24"/>
          <w:szCs w:val="24"/>
        </w:rPr>
        <w:t xml:space="preserve">n ampio dibattito riguarda il fatto che </w:t>
      </w:r>
      <w:r w:rsidR="00975DC9" w:rsidRPr="00FB3143">
        <w:rPr>
          <w:sz w:val="24"/>
          <w:szCs w:val="24"/>
        </w:rPr>
        <w:t xml:space="preserve">sia </w:t>
      </w:r>
      <w:r w:rsidR="00B66690" w:rsidRPr="00FB3143">
        <w:rPr>
          <w:sz w:val="24"/>
          <w:szCs w:val="24"/>
        </w:rPr>
        <w:t>le norme dettate dall’ANVUR</w:t>
      </w:r>
      <w:r w:rsidR="00EB789C" w:rsidRPr="00FB3143">
        <w:rPr>
          <w:sz w:val="24"/>
          <w:szCs w:val="24"/>
        </w:rPr>
        <w:t xml:space="preserve"> (Agenzia Nazionale di Valutazione del Sistema Universitario e della Ricerca)</w:t>
      </w:r>
      <w:r w:rsidR="00EB789C" w:rsidRPr="00FB3143">
        <w:rPr>
          <w:color w:val="0070C0"/>
          <w:sz w:val="24"/>
          <w:szCs w:val="24"/>
        </w:rPr>
        <w:t xml:space="preserve"> </w:t>
      </w:r>
      <w:r w:rsidR="00B66690" w:rsidRPr="00FB3143">
        <w:rPr>
          <w:sz w:val="24"/>
          <w:szCs w:val="24"/>
        </w:rPr>
        <w:t xml:space="preserve">circa la valutazione della </w:t>
      </w:r>
      <w:r w:rsidR="00D8654F" w:rsidRPr="00FB3143">
        <w:rPr>
          <w:sz w:val="24"/>
          <w:szCs w:val="24"/>
        </w:rPr>
        <w:t xml:space="preserve">qualità della </w:t>
      </w:r>
      <w:r w:rsidR="00B66690" w:rsidRPr="00FB3143">
        <w:rPr>
          <w:sz w:val="24"/>
          <w:szCs w:val="24"/>
        </w:rPr>
        <w:t>ricerca scientifica</w:t>
      </w:r>
      <w:r w:rsidR="00D8654F" w:rsidRPr="00FB3143">
        <w:rPr>
          <w:rStyle w:val="Rimandonotaapidipagina"/>
          <w:sz w:val="24"/>
          <w:szCs w:val="24"/>
        </w:rPr>
        <w:footnoteReference w:id="5"/>
      </w:r>
      <w:r w:rsidR="00643C2F" w:rsidRPr="00FB3143">
        <w:rPr>
          <w:sz w:val="24"/>
          <w:szCs w:val="24"/>
        </w:rPr>
        <w:t xml:space="preserve"> </w:t>
      </w:r>
      <w:r w:rsidR="00975DC9" w:rsidRPr="00FB3143">
        <w:rPr>
          <w:sz w:val="24"/>
          <w:szCs w:val="24"/>
        </w:rPr>
        <w:t xml:space="preserve">sia </w:t>
      </w:r>
      <w:r w:rsidR="00B66690" w:rsidRPr="00FB3143">
        <w:rPr>
          <w:sz w:val="24"/>
          <w:szCs w:val="24"/>
        </w:rPr>
        <w:t>le regole definite dalle procedure di Abilitazione Scientifica Nazionale</w:t>
      </w:r>
      <w:r w:rsidR="00374A83" w:rsidRPr="00FB3143">
        <w:rPr>
          <w:rStyle w:val="Rimandonotaapidipagina"/>
          <w:sz w:val="24"/>
          <w:szCs w:val="24"/>
        </w:rPr>
        <w:footnoteReference w:id="6"/>
      </w:r>
      <w:r w:rsidR="00B66690" w:rsidRPr="00FB3143">
        <w:rPr>
          <w:sz w:val="24"/>
          <w:szCs w:val="24"/>
        </w:rPr>
        <w:t xml:space="preserve"> </w:t>
      </w:r>
      <w:r w:rsidR="004E237E" w:rsidRPr="00FB3143">
        <w:rPr>
          <w:sz w:val="24"/>
          <w:szCs w:val="24"/>
        </w:rPr>
        <w:t>s</w:t>
      </w:r>
      <w:r w:rsidR="00B66690" w:rsidRPr="00FB3143">
        <w:rPr>
          <w:sz w:val="24"/>
          <w:szCs w:val="24"/>
        </w:rPr>
        <w:t>pesso spingono gli autori verso la scelta di sedi editoriali che pubblicano in modalità clas</w:t>
      </w:r>
      <w:r w:rsidRPr="00FB3143">
        <w:rPr>
          <w:sz w:val="24"/>
          <w:szCs w:val="24"/>
        </w:rPr>
        <w:t>sica. Pur ritenendo che</w:t>
      </w:r>
      <w:r w:rsidR="00121F60" w:rsidRPr="00FB3143">
        <w:rPr>
          <w:sz w:val="24"/>
          <w:szCs w:val="24"/>
        </w:rPr>
        <w:t xml:space="preserve"> </w:t>
      </w:r>
      <w:r w:rsidRPr="00FB3143">
        <w:rPr>
          <w:sz w:val="24"/>
          <w:szCs w:val="24"/>
        </w:rPr>
        <w:t xml:space="preserve">i meccanismi di valutazione richiedano un profondo cambiamento frutto di riflessioni che portino a premiare o, almeno, a non disincentivare, la scelta di pubblicare in riviste OA, in questo contributo si vogliono illustrare quali sono le strategie che un </w:t>
      </w:r>
      <w:r w:rsidRPr="00FB3143">
        <w:rPr>
          <w:sz w:val="24"/>
          <w:szCs w:val="24"/>
        </w:rPr>
        <w:lastRenderedPageBreak/>
        <w:t xml:space="preserve">autore può mettere in pratica </w:t>
      </w:r>
      <w:r w:rsidR="004E3271" w:rsidRPr="00FB3143">
        <w:rPr>
          <w:sz w:val="24"/>
          <w:szCs w:val="24"/>
        </w:rPr>
        <w:t>per conciliare la modalità classica</w:t>
      </w:r>
      <w:r w:rsidR="00203866" w:rsidRPr="00FB3143">
        <w:rPr>
          <w:sz w:val="24"/>
          <w:szCs w:val="24"/>
        </w:rPr>
        <w:t>,</w:t>
      </w:r>
      <w:r w:rsidR="004E3271" w:rsidRPr="00FB3143">
        <w:rPr>
          <w:sz w:val="24"/>
          <w:szCs w:val="24"/>
        </w:rPr>
        <w:t xml:space="preserve"> in risposta </w:t>
      </w:r>
      <w:r w:rsidR="006D0C4C" w:rsidRPr="00FB3143">
        <w:rPr>
          <w:sz w:val="24"/>
          <w:szCs w:val="24"/>
        </w:rPr>
        <w:t>ad alcuni de</w:t>
      </w:r>
      <w:r w:rsidR="004E3271" w:rsidRPr="00FB3143">
        <w:rPr>
          <w:sz w:val="24"/>
          <w:szCs w:val="24"/>
        </w:rPr>
        <w:t>gli attuali indirizzi valutativi</w:t>
      </w:r>
      <w:r w:rsidR="00203866" w:rsidRPr="00FB3143">
        <w:rPr>
          <w:sz w:val="24"/>
          <w:szCs w:val="24"/>
        </w:rPr>
        <w:t>,</w:t>
      </w:r>
      <w:r w:rsidR="004E3271" w:rsidRPr="00FB3143">
        <w:rPr>
          <w:sz w:val="24"/>
          <w:szCs w:val="24"/>
        </w:rPr>
        <w:t xml:space="preserve"> con la pubblicazione ad accesso aperto.</w:t>
      </w:r>
    </w:p>
    <w:p w14:paraId="20F24C5E" w14:textId="2F29B5D7" w:rsidR="000C280D" w:rsidRPr="00FB3143" w:rsidRDefault="00203866" w:rsidP="00A03198">
      <w:pPr>
        <w:spacing w:after="0" w:line="240" w:lineRule="auto"/>
        <w:ind w:firstLine="284"/>
        <w:jc w:val="both"/>
        <w:rPr>
          <w:sz w:val="24"/>
          <w:szCs w:val="24"/>
        </w:rPr>
      </w:pPr>
      <w:r w:rsidRPr="00FB3143">
        <w:rPr>
          <w:sz w:val="24"/>
          <w:szCs w:val="24"/>
        </w:rPr>
        <w:t>I maggiori editori classici</w:t>
      </w:r>
      <w:r w:rsidR="00E20488" w:rsidRPr="00FB3143">
        <w:rPr>
          <w:sz w:val="24"/>
          <w:szCs w:val="24"/>
        </w:rPr>
        <w:t xml:space="preserve"> sempre più spesso elaborano politiche contrattuali che consentono il deposito degli articoli su piattaforme ad accesso aperto</w:t>
      </w:r>
      <w:r w:rsidR="00975DC9" w:rsidRPr="00FB3143">
        <w:rPr>
          <w:sz w:val="24"/>
          <w:szCs w:val="24"/>
        </w:rPr>
        <w:t xml:space="preserve">; inoltre </w:t>
      </w:r>
      <w:r w:rsidR="00E20488" w:rsidRPr="00FB3143">
        <w:rPr>
          <w:sz w:val="24"/>
          <w:szCs w:val="24"/>
        </w:rPr>
        <w:t xml:space="preserve">le licenze prevedono apposite clausole relative alla possibilità di </w:t>
      </w:r>
      <w:r w:rsidRPr="00FB3143">
        <w:rPr>
          <w:sz w:val="24"/>
          <w:szCs w:val="24"/>
        </w:rPr>
        <w:t>auto-</w:t>
      </w:r>
      <w:r w:rsidR="00E20488" w:rsidRPr="00FB3143">
        <w:rPr>
          <w:sz w:val="24"/>
          <w:szCs w:val="24"/>
        </w:rPr>
        <w:t>archiviazione su depositi istituzionali.</w:t>
      </w:r>
      <w:r w:rsidRPr="00FB3143">
        <w:rPr>
          <w:sz w:val="24"/>
          <w:szCs w:val="24"/>
        </w:rPr>
        <w:t xml:space="preserve"> Quindi in molti casi è possibile pubblicare in modalità classica</w:t>
      </w:r>
      <w:r w:rsidR="00975DC9" w:rsidRPr="00FB3143">
        <w:rPr>
          <w:sz w:val="24"/>
          <w:szCs w:val="24"/>
        </w:rPr>
        <w:t xml:space="preserve">, garantendosi comunque la possibilità di perseguire la cosiddetta via verde. </w:t>
      </w:r>
      <w:r w:rsidR="00890FF9" w:rsidRPr="00FB3143">
        <w:rPr>
          <w:sz w:val="24"/>
          <w:szCs w:val="24"/>
        </w:rPr>
        <w:t>U</w:t>
      </w:r>
      <w:r w:rsidR="00677D5B" w:rsidRPr="00FB3143">
        <w:rPr>
          <w:sz w:val="24"/>
          <w:szCs w:val="24"/>
        </w:rPr>
        <w:t xml:space="preserve">na </w:t>
      </w:r>
      <w:r w:rsidR="009645DB" w:rsidRPr="00FB3143">
        <w:rPr>
          <w:sz w:val="24"/>
          <w:szCs w:val="24"/>
        </w:rPr>
        <w:t xml:space="preserve">fonte utile di informazione sulle policy editoriali standard di numerosi editori </w:t>
      </w:r>
      <w:r w:rsidR="009E3F8A" w:rsidRPr="00FB3143">
        <w:rPr>
          <w:sz w:val="24"/>
          <w:szCs w:val="24"/>
        </w:rPr>
        <w:t xml:space="preserve">risulta </w:t>
      </w:r>
      <w:r w:rsidR="000D15C8" w:rsidRPr="00FB3143">
        <w:rPr>
          <w:sz w:val="24"/>
          <w:szCs w:val="24"/>
        </w:rPr>
        <w:t xml:space="preserve">essere </w:t>
      </w:r>
      <w:r w:rsidR="009E3F8A" w:rsidRPr="00FB3143">
        <w:rPr>
          <w:sz w:val="24"/>
          <w:szCs w:val="24"/>
        </w:rPr>
        <w:t>S</w:t>
      </w:r>
      <w:r w:rsidR="009D0044" w:rsidRPr="00FB3143">
        <w:rPr>
          <w:sz w:val="24"/>
          <w:szCs w:val="24"/>
        </w:rPr>
        <w:t>HERPA/</w:t>
      </w:r>
      <w:proofErr w:type="spellStart"/>
      <w:r w:rsidR="009D0044" w:rsidRPr="00FB3143">
        <w:rPr>
          <w:sz w:val="24"/>
          <w:szCs w:val="24"/>
        </w:rPr>
        <w:t>RoMEO</w:t>
      </w:r>
      <w:proofErr w:type="spellEnd"/>
      <w:r w:rsidR="002F1853" w:rsidRPr="00FB3143">
        <w:rPr>
          <w:sz w:val="24"/>
          <w:szCs w:val="24"/>
        </w:rPr>
        <w:t xml:space="preserve">, </w:t>
      </w:r>
      <w:r w:rsidR="000D15C8" w:rsidRPr="00FB3143">
        <w:rPr>
          <w:sz w:val="24"/>
          <w:szCs w:val="24"/>
        </w:rPr>
        <w:t>risorsa online che raccoglie</w:t>
      </w:r>
      <w:r w:rsidR="009645DB" w:rsidRPr="00FB3143">
        <w:rPr>
          <w:sz w:val="24"/>
          <w:szCs w:val="24"/>
        </w:rPr>
        <w:t xml:space="preserve">, censisce </w:t>
      </w:r>
      <w:r w:rsidR="000D15C8" w:rsidRPr="00FB3143">
        <w:rPr>
          <w:sz w:val="24"/>
          <w:szCs w:val="24"/>
        </w:rPr>
        <w:t>ed analizza le politiche di accesso aperto di singoli editori nazionali ed internazionali</w:t>
      </w:r>
      <w:r w:rsidR="00975DC9" w:rsidRPr="00FB3143">
        <w:rPr>
          <w:sz w:val="24"/>
          <w:szCs w:val="24"/>
        </w:rPr>
        <w:t xml:space="preserve"> </w:t>
      </w:r>
      <w:r w:rsidR="000D15C8" w:rsidRPr="00FB3143">
        <w:rPr>
          <w:sz w:val="24"/>
          <w:szCs w:val="24"/>
        </w:rPr>
        <w:t>e fornisce delle indicazioni specifiche in merito al tema dell’auto-archiviazione. Grazie all’analisi delle polic</w:t>
      </w:r>
      <w:r w:rsidR="006D77AE" w:rsidRPr="00FB3143">
        <w:rPr>
          <w:sz w:val="24"/>
          <w:szCs w:val="24"/>
        </w:rPr>
        <w:t xml:space="preserve">y </w:t>
      </w:r>
      <w:r w:rsidR="000D15C8" w:rsidRPr="00FB3143">
        <w:rPr>
          <w:sz w:val="24"/>
          <w:szCs w:val="24"/>
        </w:rPr>
        <w:t>editoriali è possibile così sapere chi è autorizzato all’auto-archiviazione, cosa</w:t>
      </w:r>
      <w:r w:rsidR="00A94424" w:rsidRPr="00FB3143">
        <w:rPr>
          <w:sz w:val="24"/>
          <w:szCs w:val="24"/>
        </w:rPr>
        <w:t xml:space="preserve">, </w:t>
      </w:r>
      <w:r w:rsidR="000D15C8" w:rsidRPr="00FB3143">
        <w:rPr>
          <w:sz w:val="24"/>
          <w:szCs w:val="24"/>
        </w:rPr>
        <w:t xml:space="preserve">dove e quando un contributo può essere auto-archiviato. </w:t>
      </w:r>
      <w:r w:rsidR="00A94424" w:rsidRPr="00FB3143">
        <w:rPr>
          <w:sz w:val="24"/>
          <w:szCs w:val="24"/>
        </w:rPr>
        <w:t>In base alla presenza o meno di condizioni</w:t>
      </w:r>
      <w:r w:rsidR="00577E59" w:rsidRPr="00FB3143">
        <w:rPr>
          <w:sz w:val="24"/>
          <w:szCs w:val="24"/>
        </w:rPr>
        <w:t xml:space="preserve"> o restrizioni </w:t>
      </w:r>
      <w:r w:rsidR="00A94424" w:rsidRPr="00FB3143">
        <w:rPr>
          <w:sz w:val="24"/>
          <w:szCs w:val="24"/>
        </w:rPr>
        <w:t>che regolamen</w:t>
      </w:r>
      <w:r w:rsidR="00134B0D" w:rsidRPr="00FB3143">
        <w:rPr>
          <w:sz w:val="24"/>
          <w:szCs w:val="24"/>
        </w:rPr>
        <w:t xml:space="preserve">tano </w:t>
      </w:r>
      <w:r w:rsidR="00A94424" w:rsidRPr="00FB3143">
        <w:rPr>
          <w:sz w:val="24"/>
          <w:szCs w:val="24"/>
        </w:rPr>
        <w:t xml:space="preserve">il diritto </w:t>
      </w:r>
      <w:r w:rsidR="00A94424" w:rsidRPr="00FB3143">
        <w:rPr>
          <w:i/>
          <w:sz w:val="24"/>
          <w:szCs w:val="24"/>
        </w:rPr>
        <w:t>di self-</w:t>
      </w:r>
      <w:proofErr w:type="spellStart"/>
      <w:r w:rsidR="00A94424" w:rsidRPr="00FB3143">
        <w:rPr>
          <w:i/>
          <w:sz w:val="24"/>
          <w:szCs w:val="24"/>
        </w:rPr>
        <w:t>archiving</w:t>
      </w:r>
      <w:proofErr w:type="spellEnd"/>
      <w:r w:rsidR="00A94424" w:rsidRPr="00FB3143">
        <w:rPr>
          <w:sz w:val="24"/>
          <w:szCs w:val="24"/>
        </w:rPr>
        <w:t xml:space="preserve"> da parte di un autore, ogni editore è classificato come editore verde, blu, giallo o bianco</w:t>
      </w:r>
      <w:r w:rsidR="00134B0D" w:rsidRPr="00FB3143">
        <w:rPr>
          <w:sz w:val="24"/>
          <w:szCs w:val="24"/>
        </w:rPr>
        <w:t xml:space="preserve">, passando, attraverso </w:t>
      </w:r>
      <w:r w:rsidR="00975DC9" w:rsidRPr="00FB3143">
        <w:rPr>
          <w:sz w:val="24"/>
          <w:szCs w:val="24"/>
        </w:rPr>
        <w:t xml:space="preserve">questa </w:t>
      </w:r>
      <w:r w:rsidR="00134B0D" w:rsidRPr="00FB3143">
        <w:rPr>
          <w:sz w:val="24"/>
          <w:szCs w:val="24"/>
        </w:rPr>
        <w:t xml:space="preserve">la scala cromatica, da un regime di minore restrizione (verde), che permette l’archiviazione del </w:t>
      </w:r>
      <w:proofErr w:type="spellStart"/>
      <w:r w:rsidR="00134B0D" w:rsidRPr="00FB3143">
        <w:rPr>
          <w:i/>
          <w:sz w:val="24"/>
          <w:szCs w:val="24"/>
        </w:rPr>
        <w:t>preprint</w:t>
      </w:r>
      <w:proofErr w:type="spellEnd"/>
      <w:r w:rsidR="00134B0D" w:rsidRPr="00FB3143">
        <w:rPr>
          <w:sz w:val="24"/>
          <w:szCs w:val="24"/>
        </w:rPr>
        <w:t xml:space="preserve"> e del </w:t>
      </w:r>
      <w:proofErr w:type="spellStart"/>
      <w:r w:rsidR="00134B0D" w:rsidRPr="00FB3143">
        <w:rPr>
          <w:i/>
          <w:sz w:val="24"/>
          <w:szCs w:val="24"/>
        </w:rPr>
        <w:t>postprint</w:t>
      </w:r>
      <w:proofErr w:type="spellEnd"/>
      <w:r w:rsidR="00134B0D" w:rsidRPr="00FB3143">
        <w:rPr>
          <w:sz w:val="24"/>
          <w:szCs w:val="24"/>
        </w:rPr>
        <w:t xml:space="preserve"> o della versione editoriale in pdf, a quello di maggiore restrizione (bianco), in cui l’archiviazione è formalmente vietata. </w:t>
      </w:r>
      <w:r w:rsidR="00FE3BBE" w:rsidRPr="00FB3143">
        <w:rPr>
          <w:sz w:val="24"/>
          <w:szCs w:val="24"/>
        </w:rPr>
        <w:t xml:space="preserve">Consultando la banca dati appare evidente </w:t>
      </w:r>
      <w:r w:rsidR="00265F1F" w:rsidRPr="00FB3143">
        <w:rPr>
          <w:sz w:val="24"/>
          <w:szCs w:val="24"/>
        </w:rPr>
        <w:t xml:space="preserve">la varietà del </w:t>
      </w:r>
      <w:r w:rsidR="00FE3BBE" w:rsidRPr="00FB3143">
        <w:rPr>
          <w:sz w:val="24"/>
          <w:szCs w:val="24"/>
        </w:rPr>
        <w:t xml:space="preserve">panorama </w:t>
      </w:r>
      <w:r w:rsidR="00265F1F" w:rsidRPr="00FB3143">
        <w:rPr>
          <w:sz w:val="24"/>
          <w:szCs w:val="24"/>
        </w:rPr>
        <w:t>editoriale</w:t>
      </w:r>
      <w:r w:rsidR="00C676F9" w:rsidRPr="00FB3143">
        <w:rPr>
          <w:sz w:val="24"/>
          <w:szCs w:val="24"/>
        </w:rPr>
        <w:t xml:space="preserve">, inoltre </w:t>
      </w:r>
      <w:r w:rsidR="00C65D36" w:rsidRPr="00FB3143">
        <w:rPr>
          <w:sz w:val="24"/>
          <w:szCs w:val="24"/>
        </w:rPr>
        <w:t>non è strano imbattersi in editori che adottano politiche diverse a seconda delle collezioni pu</w:t>
      </w:r>
      <w:r w:rsidR="00265F1F" w:rsidRPr="00FB3143">
        <w:rPr>
          <w:sz w:val="24"/>
          <w:szCs w:val="24"/>
        </w:rPr>
        <w:t xml:space="preserve">bblicate; </w:t>
      </w:r>
      <w:r w:rsidR="00C65D36" w:rsidRPr="00FB3143">
        <w:rPr>
          <w:sz w:val="24"/>
          <w:szCs w:val="24"/>
        </w:rPr>
        <w:t xml:space="preserve">si veda per esempio </w:t>
      </w:r>
      <w:proofErr w:type="spellStart"/>
      <w:r w:rsidR="00C65D36" w:rsidRPr="00FB3143">
        <w:rPr>
          <w:sz w:val="24"/>
          <w:szCs w:val="24"/>
        </w:rPr>
        <w:t>Elsevier</w:t>
      </w:r>
      <w:proofErr w:type="spellEnd"/>
      <w:r w:rsidR="00C65D36" w:rsidRPr="00FB3143">
        <w:rPr>
          <w:sz w:val="24"/>
          <w:szCs w:val="24"/>
        </w:rPr>
        <w:t xml:space="preserve">, classificato come editore </w:t>
      </w:r>
      <w:r w:rsidR="00C65D36" w:rsidRPr="00FB3143">
        <w:rPr>
          <w:i/>
          <w:sz w:val="24"/>
          <w:szCs w:val="24"/>
        </w:rPr>
        <w:t>green</w:t>
      </w:r>
      <w:r w:rsidR="00C65D36" w:rsidRPr="00FB3143">
        <w:rPr>
          <w:sz w:val="24"/>
          <w:szCs w:val="24"/>
        </w:rPr>
        <w:t xml:space="preserve">, </w:t>
      </w:r>
      <w:r w:rsidR="000C280D" w:rsidRPr="00FB3143">
        <w:rPr>
          <w:sz w:val="24"/>
          <w:szCs w:val="24"/>
        </w:rPr>
        <w:t xml:space="preserve">che però diventa </w:t>
      </w:r>
      <w:proofErr w:type="spellStart"/>
      <w:r w:rsidR="000C280D" w:rsidRPr="00FB3143">
        <w:rPr>
          <w:i/>
          <w:sz w:val="24"/>
          <w:szCs w:val="24"/>
        </w:rPr>
        <w:t>white</w:t>
      </w:r>
      <w:proofErr w:type="spellEnd"/>
      <w:r w:rsidR="00CD741E" w:rsidRPr="00FB3143">
        <w:rPr>
          <w:i/>
          <w:sz w:val="24"/>
          <w:szCs w:val="24"/>
        </w:rPr>
        <w:t xml:space="preserve">, </w:t>
      </w:r>
      <w:r w:rsidR="00CD741E" w:rsidRPr="00FB3143">
        <w:rPr>
          <w:sz w:val="24"/>
          <w:szCs w:val="24"/>
        </w:rPr>
        <w:t>in caso di pubblicazioni nelle</w:t>
      </w:r>
      <w:r w:rsidR="00CD741E" w:rsidRPr="00FB3143">
        <w:rPr>
          <w:i/>
          <w:sz w:val="24"/>
          <w:szCs w:val="24"/>
        </w:rPr>
        <w:t xml:space="preserve"> </w:t>
      </w:r>
      <w:proofErr w:type="spellStart"/>
      <w:r w:rsidR="000C280D" w:rsidRPr="00FB3143">
        <w:rPr>
          <w:i/>
          <w:sz w:val="24"/>
          <w:szCs w:val="24"/>
        </w:rPr>
        <w:t>Monograph</w:t>
      </w:r>
      <w:proofErr w:type="spellEnd"/>
      <w:r w:rsidR="000C280D" w:rsidRPr="00FB3143">
        <w:rPr>
          <w:i/>
          <w:sz w:val="24"/>
          <w:szCs w:val="24"/>
        </w:rPr>
        <w:t xml:space="preserve"> Series, </w:t>
      </w:r>
      <w:r w:rsidR="000C280D" w:rsidRPr="00FB3143">
        <w:rPr>
          <w:sz w:val="24"/>
          <w:szCs w:val="24"/>
        </w:rPr>
        <w:t xml:space="preserve">passando attraverso lo stato </w:t>
      </w:r>
      <w:r w:rsidR="000C280D" w:rsidRPr="00FB3143">
        <w:rPr>
          <w:i/>
          <w:sz w:val="24"/>
          <w:szCs w:val="24"/>
        </w:rPr>
        <w:t>blue</w:t>
      </w:r>
      <w:r w:rsidR="000C280D" w:rsidRPr="00FB3143">
        <w:rPr>
          <w:sz w:val="24"/>
          <w:szCs w:val="24"/>
        </w:rPr>
        <w:t xml:space="preserve"> quando pubblica secondo il modello </w:t>
      </w:r>
      <w:r w:rsidR="000C280D" w:rsidRPr="00FB3143">
        <w:rPr>
          <w:i/>
          <w:sz w:val="24"/>
          <w:szCs w:val="24"/>
        </w:rPr>
        <w:t xml:space="preserve">Creative </w:t>
      </w:r>
      <w:proofErr w:type="spellStart"/>
      <w:r w:rsidR="000C280D" w:rsidRPr="00FB3143">
        <w:rPr>
          <w:i/>
          <w:sz w:val="24"/>
          <w:szCs w:val="24"/>
        </w:rPr>
        <w:t>Commons</w:t>
      </w:r>
      <w:proofErr w:type="spellEnd"/>
      <w:r w:rsidR="000C280D" w:rsidRPr="00FB3143">
        <w:rPr>
          <w:i/>
          <w:sz w:val="24"/>
          <w:szCs w:val="24"/>
        </w:rPr>
        <w:t xml:space="preserve"> </w:t>
      </w:r>
      <w:proofErr w:type="spellStart"/>
      <w:r w:rsidR="000C280D" w:rsidRPr="00FB3143">
        <w:rPr>
          <w:i/>
          <w:sz w:val="24"/>
          <w:szCs w:val="24"/>
        </w:rPr>
        <w:t>Attribution</w:t>
      </w:r>
      <w:proofErr w:type="spellEnd"/>
      <w:r w:rsidR="000C280D" w:rsidRPr="00FB3143">
        <w:rPr>
          <w:i/>
          <w:sz w:val="24"/>
          <w:szCs w:val="24"/>
        </w:rPr>
        <w:t xml:space="preserve"> Non-Commercial No-</w:t>
      </w:r>
      <w:proofErr w:type="spellStart"/>
      <w:r w:rsidR="000C280D" w:rsidRPr="00FB3143">
        <w:rPr>
          <w:i/>
          <w:sz w:val="24"/>
          <w:szCs w:val="24"/>
        </w:rPr>
        <w:t>Derivatives</w:t>
      </w:r>
      <w:proofErr w:type="spellEnd"/>
      <w:r w:rsidR="000C280D" w:rsidRPr="00FB3143">
        <w:rPr>
          <w:i/>
          <w:sz w:val="24"/>
          <w:szCs w:val="24"/>
        </w:rPr>
        <w:t xml:space="preserve"> License.</w:t>
      </w:r>
      <w:r w:rsidR="009B2E4A" w:rsidRPr="00FB3143">
        <w:rPr>
          <w:i/>
          <w:sz w:val="24"/>
          <w:szCs w:val="24"/>
        </w:rPr>
        <w:t xml:space="preserve"> </w:t>
      </w:r>
      <w:r w:rsidR="00265F1F" w:rsidRPr="00FB3143">
        <w:rPr>
          <w:sz w:val="24"/>
          <w:szCs w:val="24"/>
        </w:rPr>
        <w:t>Anche alcuni rappresentanti de</w:t>
      </w:r>
      <w:r w:rsidR="009B2E4A" w:rsidRPr="00FB3143">
        <w:rPr>
          <w:sz w:val="24"/>
          <w:szCs w:val="24"/>
        </w:rPr>
        <w:t xml:space="preserve">l </w:t>
      </w:r>
      <w:r w:rsidR="000C280D" w:rsidRPr="00FB3143">
        <w:rPr>
          <w:sz w:val="24"/>
          <w:szCs w:val="24"/>
        </w:rPr>
        <w:t xml:space="preserve">mondo editoriale italiano </w:t>
      </w:r>
      <w:r w:rsidR="00265F1F" w:rsidRPr="00FB3143">
        <w:rPr>
          <w:sz w:val="24"/>
          <w:szCs w:val="24"/>
        </w:rPr>
        <w:t xml:space="preserve">sono </w:t>
      </w:r>
      <w:r w:rsidR="00CA227B" w:rsidRPr="00FB3143">
        <w:rPr>
          <w:sz w:val="24"/>
          <w:szCs w:val="24"/>
        </w:rPr>
        <w:t>ricercabil</w:t>
      </w:r>
      <w:r w:rsidR="0034635E" w:rsidRPr="00FB3143">
        <w:rPr>
          <w:sz w:val="24"/>
          <w:szCs w:val="24"/>
        </w:rPr>
        <w:t xml:space="preserve">i </w:t>
      </w:r>
      <w:r w:rsidR="00CA227B" w:rsidRPr="00FB3143">
        <w:rPr>
          <w:sz w:val="24"/>
          <w:szCs w:val="24"/>
        </w:rPr>
        <w:t>nella risorsa S</w:t>
      </w:r>
      <w:r w:rsidR="00885721" w:rsidRPr="00FB3143">
        <w:rPr>
          <w:sz w:val="24"/>
          <w:szCs w:val="24"/>
        </w:rPr>
        <w:t>HERPA/</w:t>
      </w:r>
      <w:proofErr w:type="spellStart"/>
      <w:r w:rsidR="00885721" w:rsidRPr="00FB3143">
        <w:rPr>
          <w:sz w:val="24"/>
          <w:szCs w:val="24"/>
        </w:rPr>
        <w:t>RoMEO</w:t>
      </w:r>
      <w:proofErr w:type="spellEnd"/>
      <w:r w:rsidR="00885721" w:rsidRPr="00FB3143">
        <w:rPr>
          <w:sz w:val="24"/>
          <w:szCs w:val="24"/>
        </w:rPr>
        <w:t xml:space="preserve"> </w:t>
      </w:r>
      <w:r w:rsidR="00CA227B" w:rsidRPr="00FB3143">
        <w:rPr>
          <w:sz w:val="24"/>
          <w:szCs w:val="24"/>
        </w:rPr>
        <w:t xml:space="preserve"> </w:t>
      </w:r>
      <w:r w:rsidR="00265F1F" w:rsidRPr="00FB3143">
        <w:rPr>
          <w:sz w:val="24"/>
          <w:szCs w:val="24"/>
        </w:rPr>
        <w:t xml:space="preserve">come </w:t>
      </w:r>
      <w:r w:rsidR="00CA227B" w:rsidRPr="00FB3143">
        <w:rPr>
          <w:sz w:val="24"/>
          <w:szCs w:val="24"/>
        </w:rPr>
        <w:t xml:space="preserve">Fabrizio Serra editore, classificato come editore </w:t>
      </w:r>
      <w:r w:rsidR="00CA227B" w:rsidRPr="00FB3143">
        <w:rPr>
          <w:i/>
          <w:sz w:val="24"/>
          <w:szCs w:val="24"/>
        </w:rPr>
        <w:t>blue</w:t>
      </w:r>
      <w:r w:rsidR="00CA227B" w:rsidRPr="00FB3143">
        <w:rPr>
          <w:sz w:val="24"/>
          <w:szCs w:val="24"/>
        </w:rPr>
        <w:t xml:space="preserve">, Liguori editore, che invece è </w:t>
      </w:r>
      <w:proofErr w:type="spellStart"/>
      <w:r w:rsidR="00CA227B" w:rsidRPr="00FB3143">
        <w:rPr>
          <w:i/>
          <w:sz w:val="24"/>
          <w:szCs w:val="24"/>
        </w:rPr>
        <w:t>white</w:t>
      </w:r>
      <w:proofErr w:type="spellEnd"/>
      <w:r w:rsidR="00CA227B" w:rsidRPr="00FB3143">
        <w:rPr>
          <w:i/>
          <w:sz w:val="24"/>
          <w:szCs w:val="24"/>
        </w:rPr>
        <w:t xml:space="preserve">, </w:t>
      </w:r>
      <w:r w:rsidR="00CA227B" w:rsidRPr="00FB3143">
        <w:rPr>
          <w:sz w:val="24"/>
          <w:szCs w:val="24"/>
        </w:rPr>
        <w:t>oppure</w:t>
      </w:r>
      <w:r w:rsidR="00E83604" w:rsidRPr="00FB3143">
        <w:rPr>
          <w:sz w:val="24"/>
          <w:szCs w:val="24"/>
        </w:rPr>
        <w:t xml:space="preserve"> </w:t>
      </w:r>
      <w:r w:rsidR="00CA227B" w:rsidRPr="00FB3143">
        <w:rPr>
          <w:sz w:val="24"/>
          <w:szCs w:val="24"/>
        </w:rPr>
        <w:t>la Società editrice Il Mulino che presenta l’etichetta gialla</w:t>
      </w:r>
      <w:r w:rsidR="00C9493E" w:rsidRPr="00FB3143">
        <w:rPr>
          <w:rStyle w:val="Rimandonotaapidipagina"/>
          <w:sz w:val="24"/>
          <w:szCs w:val="24"/>
        </w:rPr>
        <w:footnoteReference w:id="7"/>
      </w:r>
      <w:r w:rsidR="00E5479C" w:rsidRPr="00FB3143">
        <w:rPr>
          <w:sz w:val="24"/>
          <w:szCs w:val="24"/>
        </w:rPr>
        <w:t xml:space="preserve">. </w:t>
      </w:r>
    </w:p>
    <w:p w14:paraId="0A6887A5" w14:textId="77777777" w:rsidR="000B64E5" w:rsidRPr="00FB3143" w:rsidRDefault="00830A88" w:rsidP="00A03198">
      <w:pPr>
        <w:spacing w:after="0" w:line="240" w:lineRule="auto"/>
        <w:ind w:firstLine="284"/>
        <w:jc w:val="both"/>
        <w:rPr>
          <w:sz w:val="24"/>
          <w:szCs w:val="24"/>
        </w:rPr>
      </w:pPr>
      <w:r w:rsidRPr="00FB3143">
        <w:rPr>
          <w:sz w:val="24"/>
          <w:szCs w:val="24"/>
        </w:rPr>
        <w:t>Inoltre</w:t>
      </w:r>
      <w:r w:rsidR="009E3F8A" w:rsidRPr="00FB3143">
        <w:rPr>
          <w:sz w:val="24"/>
          <w:szCs w:val="24"/>
        </w:rPr>
        <w:t xml:space="preserve"> occorre sottolineare </w:t>
      </w:r>
      <w:r w:rsidR="00864711" w:rsidRPr="00FB3143">
        <w:rPr>
          <w:sz w:val="24"/>
          <w:szCs w:val="24"/>
        </w:rPr>
        <w:t>come sempre più spesso riviste</w:t>
      </w:r>
      <w:r w:rsidR="009A79B4" w:rsidRPr="00FB3143">
        <w:rPr>
          <w:sz w:val="24"/>
          <w:szCs w:val="24"/>
        </w:rPr>
        <w:t xml:space="preserve"> edite con modalità </w:t>
      </w:r>
      <w:r w:rsidR="00864711" w:rsidRPr="00FB3143">
        <w:rPr>
          <w:sz w:val="24"/>
          <w:szCs w:val="24"/>
        </w:rPr>
        <w:t xml:space="preserve">classiche </w:t>
      </w:r>
      <w:r w:rsidRPr="00FB3143">
        <w:rPr>
          <w:sz w:val="24"/>
          <w:szCs w:val="24"/>
        </w:rPr>
        <w:t xml:space="preserve">optano per </w:t>
      </w:r>
      <w:r w:rsidR="00864711" w:rsidRPr="00FB3143">
        <w:rPr>
          <w:sz w:val="24"/>
          <w:szCs w:val="24"/>
        </w:rPr>
        <w:t xml:space="preserve">un sistema ibrido, </w:t>
      </w:r>
      <w:r w:rsidRPr="00FB3143">
        <w:rPr>
          <w:sz w:val="24"/>
          <w:szCs w:val="24"/>
        </w:rPr>
        <w:t xml:space="preserve">offrendo agli autori la cosiddetta opzione aperta, </w:t>
      </w:r>
      <w:r w:rsidR="00864711" w:rsidRPr="00FB3143">
        <w:rPr>
          <w:sz w:val="24"/>
          <w:szCs w:val="24"/>
        </w:rPr>
        <w:t xml:space="preserve">che permette </w:t>
      </w:r>
      <w:r w:rsidR="00975DA1" w:rsidRPr="00FB3143">
        <w:rPr>
          <w:sz w:val="24"/>
          <w:szCs w:val="24"/>
        </w:rPr>
        <w:t xml:space="preserve">al ricercatore </w:t>
      </w:r>
      <w:r w:rsidR="00864711" w:rsidRPr="00FB3143">
        <w:rPr>
          <w:sz w:val="24"/>
          <w:szCs w:val="24"/>
        </w:rPr>
        <w:t>di svincolare dalle politiche editoriali i</w:t>
      </w:r>
      <w:r w:rsidR="00975DA1" w:rsidRPr="00FB3143">
        <w:rPr>
          <w:sz w:val="24"/>
          <w:szCs w:val="24"/>
        </w:rPr>
        <w:t xml:space="preserve">l proprio </w:t>
      </w:r>
      <w:r w:rsidR="00864711" w:rsidRPr="00FB3143">
        <w:rPr>
          <w:sz w:val="24"/>
          <w:szCs w:val="24"/>
        </w:rPr>
        <w:t>contribut</w:t>
      </w:r>
      <w:r w:rsidR="00975DA1" w:rsidRPr="00FB3143">
        <w:rPr>
          <w:sz w:val="24"/>
          <w:szCs w:val="24"/>
        </w:rPr>
        <w:t xml:space="preserve">o, </w:t>
      </w:r>
      <w:r w:rsidR="00864711" w:rsidRPr="00FB3143">
        <w:rPr>
          <w:sz w:val="24"/>
          <w:szCs w:val="24"/>
        </w:rPr>
        <w:t xml:space="preserve">pagando una </w:t>
      </w:r>
      <w:r w:rsidRPr="00FB3143">
        <w:rPr>
          <w:sz w:val="24"/>
          <w:szCs w:val="24"/>
        </w:rPr>
        <w:t>APC (</w:t>
      </w:r>
      <w:proofErr w:type="spellStart"/>
      <w:r w:rsidRPr="00FB3143">
        <w:rPr>
          <w:i/>
          <w:sz w:val="24"/>
          <w:szCs w:val="24"/>
        </w:rPr>
        <w:t>Article</w:t>
      </w:r>
      <w:proofErr w:type="spellEnd"/>
      <w:r w:rsidRPr="00FB3143">
        <w:rPr>
          <w:i/>
          <w:sz w:val="24"/>
          <w:szCs w:val="24"/>
        </w:rPr>
        <w:t xml:space="preserve"> Processing </w:t>
      </w:r>
      <w:proofErr w:type="spellStart"/>
      <w:r w:rsidRPr="00FB3143">
        <w:rPr>
          <w:i/>
          <w:sz w:val="24"/>
          <w:szCs w:val="24"/>
        </w:rPr>
        <w:t>Charge</w:t>
      </w:r>
      <w:proofErr w:type="spellEnd"/>
      <w:r w:rsidRPr="00FB3143">
        <w:rPr>
          <w:sz w:val="24"/>
          <w:szCs w:val="24"/>
        </w:rPr>
        <w:t>)</w:t>
      </w:r>
      <w:r w:rsidR="00975DA1" w:rsidRPr="00FB3143">
        <w:rPr>
          <w:sz w:val="24"/>
          <w:szCs w:val="24"/>
        </w:rPr>
        <w:t>; s</w:t>
      </w:r>
      <w:r w:rsidR="009E3F8A" w:rsidRPr="00FB3143">
        <w:rPr>
          <w:sz w:val="24"/>
          <w:szCs w:val="24"/>
        </w:rPr>
        <w:t>e da un lato questo meccanismo comporta un costo per l’autore, dall’altro</w:t>
      </w:r>
      <w:r w:rsidR="00975DA1" w:rsidRPr="00FB3143">
        <w:rPr>
          <w:sz w:val="24"/>
          <w:szCs w:val="24"/>
        </w:rPr>
        <w:t xml:space="preserve">, </w:t>
      </w:r>
      <w:r w:rsidR="009E3F8A" w:rsidRPr="00FB3143">
        <w:rPr>
          <w:sz w:val="24"/>
          <w:szCs w:val="24"/>
        </w:rPr>
        <w:t xml:space="preserve">in presenza di </w:t>
      </w:r>
      <w:r w:rsidR="00975DA1" w:rsidRPr="00FB3143">
        <w:rPr>
          <w:sz w:val="24"/>
          <w:szCs w:val="24"/>
        </w:rPr>
        <w:t xml:space="preserve">un </w:t>
      </w:r>
      <w:r w:rsidR="009E3F8A" w:rsidRPr="00FB3143">
        <w:rPr>
          <w:sz w:val="24"/>
          <w:szCs w:val="24"/>
        </w:rPr>
        <w:t>finanziamento alla ricerca</w:t>
      </w:r>
      <w:r w:rsidR="00975DA1" w:rsidRPr="00FB3143">
        <w:rPr>
          <w:sz w:val="24"/>
          <w:szCs w:val="24"/>
        </w:rPr>
        <w:t xml:space="preserve">, il costo </w:t>
      </w:r>
      <w:r w:rsidR="009E3F8A" w:rsidRPr="00FB3143">
        <w:rPr>
          <w:sz w:val="24"/>
          <w:szCs w:val="24"/>
        </w:rPr>
        <w:t>può essere incluso fra quelli a carico del</w:t>
      </w:r>
      <w:r w:rsidR="00975DC9" w:rsidRPr="00FB3143">
        <w:rPr>
          <w:sz w:val="24"/>
          <w:szCs w:val="24"/>
        </w:rPr>
        <w:t xml:space="preserve">lo stesso </w:t>
      </w:r>
      <w:r w:rsidR="009E3F8A" w:rsidRPr="00FB3143">
        <w:rPr>
          <w:sz w:val="24"/>
          <w:szCs w:val="24"/>
        </w:rPr>
        <w:t>progetto</w:t>
      </w:r>
      <w:r w:rsidR="00975DA1" w:rsidRPr="00FB3143">
        <w:rPr>
          <w:sz w:val="24"/>
          <w:szCs w:val="24"/>
        </w:rPr>
        <w:t xml:space="preserve"> finanziato. </w:t>
      </w:r>
      <w:r w:rsidR="00BE6C7A" w:rsidRPr="00FB3143">
        <w:rPr>
          <w:sz w:val="24"/>
          <w:szCs w:val="24"/>
        </w:rPr>
        <w:t>Infine</w:t>
      </w:r>
      <w:r w:rsidR="00D37266" w:rsidRPr="00FB3143">
        <w:rPr>
          <w:sz w:val="24"/>
          <w:szCs w:val="24"/>
        </w:rPr>
        <w:t xml:space="preserve"> è opportuno sottolineare che, </w:t>
      </w:r>
      <w:r w:rsidR="00BE6C7A" w:rsidRPr="00FB3143">
        <w:rPr>
          <w:sz w:val="24"/>
          <w:szCs w:val="24"/>
        </w:rPr>
        <w:t>qualora si pubblichi su riviste</w:t>
      </w:r>
      <w:r w:rsidR="00133551" w:rsidRPr="00FB3143">
        <w:rPr>
          <w:sz w:val="24"/>
          <w:szCs w:val="24"/>
        </w:rPr>
        <w:t xml:space="preserve"> che in modo formale </w:t>
      </w:r>
      <w:r w:rsidR="00BE6C7A" w:rsidRPr="00FB3143">
        <w:rPr>
          <w:sz w:val="24"/>
          <w:szCs w:val="24"/>
        </w:rPr>
        <w:t>non consentono la ripubblicazione del contributo</w:t>
      </w:r>
      <w:r w:rsidR="003B46DA" w:rsidRPr="00FB3143">
        <w:rPr>
          <w:sz w:val="24"/>
          <w:szCs w:val="24"/>
        </w:rPr>
        <w:t>,</w:t>
      </w:r>
      <w:r w:rsidR="00BE6C7A" w:rsidRPr="00FB3143">
        <w:rPr>
          <w:sz w:val="24"/>
          <w:szCs w:val="24"/>
        </w:rPr>
        <w:t xml:space="preserve"> </w:t>
      </w:r>
      <w:r w:rsidR="00133551" w:rsidRPr="00FB3143">
        <w:rPr>
          <w:sz w:val="24"/>
          <w:szCs w:val="24"/>
        </w:rPr>
        <w:t xml:space="preserve">è </w:t>
      </w:r>
      <w:r w:rsidR="00BE6C7A" w:rsidRPr="00FB3143">
        <w:rPr>
          <w:sz w:val="24"/>
          <w:szCs w:val="24"/>
        </w:rPr>
        <w:t>possibile per l’</w:t>
      </w:r>
      <w:r w:rsidR="0034635E" w:rsidRPr="00FB3143">
        <w:rPr>
          <w:sz w:val="24"/>
          <w:szCs w:val="24"/>
        </w:rPr>
        <w:t>a</w:t>
      </w:r>
      <w:r w:rsidR="00BE6C7A" w:rsidRPr="00FB3143">
        <w:rPr>
          <w:sz w:val="24"/>
          <w:szCs w:val="24"/>
        </w:rPr>
        <w:t xml:space="preserve">utore archiviare il </w:t>
      </w:r>
      <w:proofErr w:type="spellStart"/>
      <w:r w:rsidR="00BE6C7A" w:rsidRPr="00FB3143">
        <w:rPr>
          <w:i/>
          <w:sz w:val="24"/>
          <w:szCs w:val="24"/>
        </w:rPr>
        <w:t>preprint</w:t>
      </w:r>
      <w:proofErr w:type="spellEnd"/>
      <w:r w:rsidR="00BE6C7A" w:rsidRPr="00FB3143">
        <w:rPr>
          <w:sz w:val="24"/>
          <w:szCs w:val="24"/>
        </w:rPr>
        <w:t xml:space="preserve"> (versione precedente la revisione da parte del comitato editoriale).</w:t>
      </w:r>
      <w:r w:rsidR="003E2606" w:rsidRPr="00FB3143">
        <w:rPr>
          <w:sz w:val="24"/>
          <w:szCs w:val="24"/>
        </w:rPr>
        <w:t xml:space="preserve"> </w:t>
      </w:r>
    </w:p>
    <w:p w14:paraId="67288215" w14:textId="46230716" w:rsidR="00BE6C7A" w:rsidRPr="00FB3143" w:rsidRDefault="00C11659" w:rsidP="00A03198">
      <w:pPr>
        <w:spacing w:after="0" w:line="240" w:lineRule="auto"/>
        <w:ind w:firstLine="284"/>
        <w:jc w:val="both"/>
        <w:rPr>
          <w:color w:val="FF0000"/>
          <w:sz w:val="24"/>
          <w:szCs w:val="24"/>
        </w:rPr>
      </w:pPr>
      <w:r w:rsidRPr="00FB3143">
        <w:rPr>
          <w:sz w:val="24"/>
          <w:szCs w:val="24"/>
        </w:rPr>
        <w:t>L</w:t>
      </w:r>
      <w:r w:rsidR="00057A22" w:rsidRPr="00FB3143">
        <w:rPr>
          <w:sz w:val="24"/>
          <w:szCs w:val="24"/>
        </w:rPr>
        <w:t xml:space="preserve">’attuale </w:t>
      </w:r>
      <w:r w:rsidRPr="00FB3143">
        <w:rPr>
          <w:sz w:val="24"/>
          <w:szCs w:val="24"/>
        </w:rPr>
        <w:t>maggiore affermazione del</w:t>
      </w:r>
      <w:r w:rsidR="0005261C" w:rsidRPr="00FB3143">
        <w:rPr>
          <w:sz w:val="24"/>
          <w:szCs w:val="24"/>
        </w:rPr>
        <w:t xml:space="preserve"> </w:t>
      </w:r>
      <w:r w:rsidRPr="00FB3143">
        <w:rPr>
          <w:sz w:val="24"/>
          <w:szCs w:val="24"/>
        </w:rPr>
        <w:t xml:space="preserve">modello dell’OA rende </w:t>
      </w:r>
      <w:r w:rsidR="008A5C7E" w:rsidRPr="00FB3143">
        <w:rPr>
          <w:sz w:val="24"/>
          <w:szCs w:val="24"/>
        </w:rPr>
        <w:t xml:space="preserve">non sufficiente il solo perseguire </w:t>
      </w:r>
      <w:r w:rsidR="006D0C4C" w:rsidRPr="00FB3143">
        <w:rPr>
          <w:sz w:val="24"/>
          <w:szCs w:val="24"/>
        </w:rPr>
        <w:t>politiche che</w:t>
      </w:r>
      <w:r w:rsidR="008A5C7E" w:rsidRPr="00FB3143">
        <w:rPr>
          <w:sz w:val="24"/>
          <w:szCs w:val="24"/>
        </w:rPr>
        <w:t xml:space="preserve"> lo i</w:t>
      </w:r>
      <w:r w:rsidR="006D0C4C" w:rsidRPr="00FB3143">
        <w:rPr>
          <w:sz w:val="24"/>
          <w:szCs w:val="24"/>
        </w:rPr>
        <w:t>ncentivano</w:t>
      </w:r>
      <w:r w:rsidRPr="00FB3143">
        <w:rPr>
          <w:sz w:val="24"/>
          <w:szCs w:val="24"/>
        </w:rPr>
        <w:t xml:space="preserve">; queste </w:t>
      </w:r>
      <w:r w:rsidR="008A5C7E" w:rsidRPr="00FB3143">
        <w:rPr>
          <w:sz w:val="24"/>
          <w:szCs w:val="24"/>
        </w:rPr>
        <w:t xml:space="preserve">devono necessariamente </w:t>
      </w:r>
      <w:r w:rsidR="006D0C4C" w:rsidRPr="00FB3143">
        <w:rPr>
          <w:sz w:val="24"/>
          <w:szCs w:val="24"/>
        </w:rPr>
        <w:t xml:space="preserve">coniugarsi con una maggiore consapevolezza dell’autore </w:t>
      </w:r>
      <w:r w:rsidR="008A5C7E" w:rsidRPr="00FB3143">
        <w:rPr>
          <w:sz w:val="24"/>
          <w:szCs w:val="24"/>
        </w:rPr>
        <w:t>in merito ai temi connessi ai diritti che loro possono esercitare sui prodotti della propria attività intellettuale</w:t>
      </w:r>
      <w:r w:rsidR="00B61ACF" w:rsidRPr="00FB3143">
        <w:rPr>
          <w:sz w:val="24"/>
          <w:szCs w:val="24"/>
        </w:rPr>
        <w:t>.</w:t>
      </w:r>
      <w:r w:rsidR="00535147" w:rsidRPr="00FB3143">
        <w:rPr>
          <w:sz w:val="24"/>
          <w:szCs w:val="24"/>
        </w:rPr>
        <w:t xml:space="preserve"> </w:t>
      </w:r>
      <w:r w:rsidR="00B61ACF" w:rsidRPr="00FB3143">
        <w:rPr>
          <w:sz w:val="24"/>
          <w:szCs w:val="24"/>
        </w:rPr>
        <w:t>Sia</w:t>
      </w:r>
      <w:r w:rsidR="00535147" w:rsidRPr="00FB3143">
        <w:rPr>
          <w:color w:val="000000" w:themeColor="text1"/>
          <w:sz w:val="24"/>
          <w:szCs w:val="24"/>
        </w:rPr>
        <w:t xml:space="preserve"> per riprodurre un’opera, in qualunque formato, sia per diffonderla, l’autore </w:t>
      </w:r>
      <w:r w:rsidR="00057A22" w:rsidRPr="00FB3143">
        <w:rPr>
          <w:color w:val="000000" w:themeColor="text1"/>
          <w:sz w:val="24"/>
          <w:szCs w:val="24"/>
        </w:rPr>
        <w:t xml:space="preserve">può, preferibilmente deve, </w:t>
      </w:r>
      <w:r w:rsidR="00535147" w:rsidRPr="00FB3143">
        <w:rPr>
          <w:color w:val="000000" w:themeColor="text1"/>
          <w:sz w:val="24"/>
          <w:szCs w:val="24"/>
        </w:rPr>
        <w:t xml:space="preserve">aver trattenuto per sé alcuni diritti che normalmente vengono ceduti all’editore, precludendosi così una serie di riutilizzi, oltre che </w:t>
      </w:r>
      <w:r w:rsidR="00B61ACF" w:rsidRPr="00FB3143">
        <w:rPr>
          <w:color w:val="000000" w:themeColor="text1"/>
          <w:sz w:val="24"/>
          <w:szCs w:val="24"/>
        </w:rPr>
        <w:t xml:space="preserve">per motivi </w:t>
      </w:r>
      <w:r w:rsidR="00535147" w:rsidRPr="00FB3143">
        <w:rPr>
          <w:color w:val="000000" w:themeColor="text1"/>
          <w:sz w:val="24"/>
          <w:szCs w:val="24"/>
        </w:rPr>
        <w:t xml:space="preserve">scientifici anche </w:t>
      </w:r>
      <w:r w:rsidR="00B61ACF" w:rsidRPr="00FB3143">
        <w:rPr>
          <w:color w:val="000000" w:themeColor="text1"/>
          <w:sz w:val="24"/>
          <w:szCs w:val="24"/>
        </w:rPr>
        <w:t>per ragioni didattiche</w:t>
      </w:r>
      <w:r w:rsidR="00535147" w:rsidRPr="00FB3143">
        <w:rPr>
          <w:color w:val="000000" w:themeColor="text1"/>
          <w:sz w:val="24"/>
          <w:szCs w:val="24"/>
        </w:rPr>
        <w:t xml:space="preserve">. </w:t>
      </w:r>
      <w:r w:rsidR="00006B2D" w:rsidRPr="00FB3143">
        <w:rPr>
          <w:color w:val="000000" w:themeColor="text1"/>
          <w:sz w:val="24"/>
          <w:szCs w:val="24"/>
        </w:rPr>
        <w:t>Per una equa gestione</w:t>
      </w:r>
      <w:r w:rsidR="008A1C9B" w:rsidRPr="00FB3143">
        <w:rPr>
          <w:color w:val="000000" w:themeColor="text1"/>
          <w:sz w:val="24"/>
          <w:szCs w:val="24"/>
        </w:rPr>
        <w:t>, come si legge nelle</w:t>
      </w:r>
      <w:r w:rsidR="00151758" w:rsidRPr="00FB3143">
        <w:rPr>
          <w:color w:val="000000" w:themeColor="text1"/>
          <w:sz w:val="24"/>
          <w:szCs w:val="24"/>
        </w:rPr>
        <w:t xml:space="preserve"> Linee guida per gli archivi istituzionali </w:t>
      </w:r>
      <w:r w:rsidR="008A1C9B" w:rsidRPr="00FB3143">
        <w:rPr>
          <w:color w:val="000000" w:themeColor="text1"/>
          <w:sz w:val="24"/>
          <w:szCs w:val="24"/>
        </w:rPr>
        <w:t>«</w:t>
      </w:r>
      <w:r w:rsidR="00006B2D" w:rsidRPr="00FB3143">
        <w:rPr>
          <w:color w:val="000000" w:themeColor="text1"/>
          <w:sz w:val="24"/>
          <w:szCs w:val="24"/>
        </w:rPr>
        <w:t>Gli autori dovranno considerare con attenzione se firmare i contratti degli editori così come sono, proporre un addendum ai contratti standard o proporre un contratto alternativo</w:t>
      </w:r>
      <w:r w:rsidR="007520AF" w:rsidRPr="00FB3143">
        <w:rPr>
          <w:rStyle w:val="Rimandonotaapidipagina"/>
          <w:color w:val="000000" w:themeColor="text1"/>
          <w:sz w:val="24"/>
          <w:szCs w:val="24"/>
        </w:rPr>
        <w:footnoteReference w:id="8"/>
      </w:r>
      <w:r w:rsidR="008A1C9B" w:rsidRPr="00FB3143">
        <w:rPr>
          <w:color w:val="000000" w:themeColor="text1"/>
          <w:sz w:val="24"/>
          <w:szCs w:val="24"/>
        </w:rPr>
        <w:t>»</w:t>
      </w:r>
      <w:r w:rsidR="00006B2D" w:rsidRPr="00FB3143">
        <w:rPr>
          <w:color w:val="000000" w:themeColor="text1"/>
          <w:sz w:val="24"/>
          <w:szCs w:val="24"/>
        </w:rPr>
        <w:t>.</w:t>
      </w:r>
      <w:r w:rsidR="006729F2" w:rsidRPr="00FB3143">
        <w:rPr>
          <w:color w:val="000000" w:themeColor="text1"/>
          <w:sz w:val="24"/>
          <w:szCs w:val="24"/>
        </w:rPr>
        <w:t xml:space="preserve"> Ma l’autore deve anche </w:t>
      </w:r>
      <w:r w:rsidR="00C32AAA" w:rsidRPr="00FB3143">
        <w:rPr>
          <w:color w:val="000000" w:themeColor="text1"/>
          <w:sz w:val="24"/>
          <w:szCs w:val="24"/>
        </w:rPr>
        <w:t>chiarire al lettore, che si approccia ai risultati della sua ricerca, le modalità di fruizione ed utilizzo de</w:t>
      </w:r>
      <w:r w:rsidR="00652AC4" w:rsidRPr="00FB3143">
        <w:rPr>
          <w:color w:val="000000" w:themeColor="text1"/>
          <w:sz w:val="24"/>
          <w:szCs w:val="24"/>
        </w:rPr>
        <w:t xml:space="preserve">gli stessi. </w:t>
      </w:r>
      <w:r w:rsidR="00136DC1" w:rsidRPr="00FB3143">
        <w:rPr>
          <w:sz w:val="24"/>
          <w:szCs w:val="24"/>
        </w:rPr>
        <w:t xml:space="preserve">Un aiuto a questo processo di </w:t>
      </w:r>
      <w:r w:rsidR="00136DC1" w:rsidRPr="00FB3143">
        <w:rPr>
          <w:sz w:val="24"/>
          <w:szCs w:val="24"/>
        </w:rPr>
        <w:lastRenderedPageBreak/>
        <w:t>consapevolezza da parte dell’autore in merito al suo rapporto e con l’editore e con il lettore</w:t>
      </w:r>
      <w:r w:rsidR="00E25D37" w:rsidRPr="00FB3143">
        <w:rPr>
          <w:sz w:val="24"/>
          <w:szCs w:val="24"/>
        </w:rPr>
        <w:t xml:space="preserve">, sicuramente è venuto dalla nascita, agli inizi del nuovo millennio, </w:t>
      </w:r>
      <w:r w:rsidR="00191934" w:rsidRPr="00FB3143">
        <w:rPr>
          <w:sz w:val="24"/>
          <w:szCs w:val="24"/>
        </w:rPr>
        <w:t>negli Stati Uniti d’A</w:t>
      </w:r>
      <w:r w:rsidR="00E25D37" w:rsidRPr="00FB3143">
        <w:rPr>
          <w:sz w:val="24"/>
          <w:szCs w:val="24"/>
        </w:rPr>
        <w:t>merica</w:t>
      </w:r>
      <w:r w:rsidR="00B61ACF" w:rsidRPr="00FB3143">
        <w:rPr>
          <w:sz w:val="24"/>
          <w:szCs w:val="24"/>
        </w:rPr>
        <w:t>,</w:t>
      </w:r>
      <w:r w:rsidR="00E25D37" w:rsidRPr="00FB3143">
        <w:rPr>
          <w:sz w:val="24"/>
          <w:szCs w:val="24"/>
        </w:rPr>
        <w:t xml:space="preserve"> delle </w:t>
      </w:r>
      <w:r w:rsidR="003E2606" w:rsidRPr="00FB3143">
        <w:rPr>
          <w:sz w:val="24"/>
          <w:szCs w:val="24"/>
        </w:rPr>
        <w:t xml:space="preserve">licenze </w:t>
      </w:r>
      <w:r w:rsidR="003E2606" w:rsidRPr="00FB3143">
        <w:rPr>
          <w:i/>
          <w:sz w:val="24"/>
          <w:szCs w:val="24"/>
        </w:rPr>
        <w:t xml:space="preserve">Creative </w:t>
      </w:r>
      <w:proofErr w:type="spellStart"/>
      <w:r w:rsidR="003E2606" w:rsidRPr="00FB3143">
        <w:rPr>
          <w:i/>
          <w:sz w:val="24"/>
          <w:szCs w:val="24"/>
        </w:rPr>
        <w:t>Commons</w:t>
      </w:r>
      <w:proofErr w:type="spellEnd"/>
      <w:r w:rsidR="003E2606" w:rsidRPr="00FB3143">
        <w:rPr>
          <w:sz w:val="24"/>
          <w:szCs w:val="24"/>
        </w:rPr>
        <w:t xml:space="preserve"> (CC)</w:t>
      </w:r>
      <w:r w:rsidR="00662375" w:rsidRPr="00FB3143">
        <w:rPr>
          <w:rStyle w:val="Rimandonotaapidipagina"/>
          <w:sz w:val="24"/>
          <w:szCs w:val="24"/>
        </w:rPr>
        <w:footnoteReference w:id="9"/>
      </w:r>
      <w:r w:rsidR="00E25D37" w:rsidRPr="00FB3143">
        <w:rPr>
          <w:sz w:val="24"/>
          <w:szCs w:val="24"/>
        </w:rPr>
        <w:t xml:space="preserve">, rapidamente diffuse e largamente applicate nell’arco di un decennio nel mondo editoriale internazionale. </w:t>
      </w:r>
      <w:r w:rsidR="00CF1C25" w:rsidRPr="00FB3143">
        <w:rPr>
          <w:sz w:val="24"/>
          <w:szCs w:val="24"/>
        </w:rPr>
        <w:t xml:space="preserve">Grazie a queste tipologie di licenze, </w:t>
      </w:r>
      <w:r w:rsidR="00F92666" w:rsidRPr="00FB3143">
        <w:rPr>
          <w:sz w:val="24"/>
          <w:szCs w:val="24"/>
        </w:rPr>
        <w:t>basate su</w:t>
      </w:r>
      <w:r w:rsidR="00005D4D" w:rsidRPr="00FB3143">
        <w:rPr>
          <w:sz w:val="24"/>
          <w:szCs w:val="24"/>
        </w:rPr>
        <w:t xml:space="preserve"> quattro clausole fondamentali (</w:t>
      </w:r>
      <w:proofErr w:type="spellStart"/>
      <w:r w:rsidR="00F92666" w:rsidRPr="00FB3143">
        <w:rPr>
          <w:i/>
          <w:sz w:val="24"/>
          <w:szCs w:val="24"/>
        </w:rPr>
        <w:t>attribution</w:t>
      </w:r>
      <w:proofErr w:type="spellEnd"/>
      <w:r w:rsidR="00F92666" w:rsidRPr="00FB3143">
        <w:rPr>
          <w:sz w:val="24"/>
          <w:szCs w:val="24"/>
        </w:rPr>
        <w:t xml:space="preserve">, </w:t>
      </w:r>
      <w:r w:rsidR="00F92666" w:rsidRPr="00FB3143">
        <w:rPr>
          <w:i/>
          <w:sz w:val="24"/>
          <w:szCs w:val="24"/>
        </w:rPr>
        <w:t>no commercial</w:t>
      </w:r>
      <w:r w:rsidR="00F92666" w:rsidRPr="00FB3143">
        <w:rPr>
          <w:sz w:val="24"/>
          <w:szCs w:val="24"/>
        </w:rPr>
        <w:t xml:space="preserve">, </w:t>
      </w:r>
      <w:r w:rsidR="00F92666" w:rsidRPr="00FB3143">
        <w:rPr>
          <w:i/>
          <w:sz w:val="24"/>
          <w:szCs w:val="24"/>
        </w:rPr>
        <w:t xml:space="preserve">no derivate </w:t>
      </w:r>
      <w:proofErr w:type="spellStart"/>
      <w:r w:rsidR="00F92666" w:rsidRPr="00FB3143">
        <w:rPr>
          <w:i/>
          <w:sz w:val="24"/>
          <w:szCs w:val="24"/>
        </w:rPr>
        <w:t>works</w:t>
      </w:r>
      <w:proofErr w:type="spellEnd"/>
      <w:r w:rsidR="00F92666" w:rsidRPr="00FB3143">
        <w:rPr>
          <w:sz w:val="24"/>
          <w:szCs w:val="24"/>
        </w:rPr>
        <w:t xml:space="preserve"> e </w:t>
      </w:r>
      <w:r w:rsidR="00F92666" w:rsidRPr="00FB3143">
        <w:rPr>
          <w:i/>
          <w:sz w:val="24"/>
          <w:szCs w:val="24"/>
        </w:rPr>
        <w:t xml:space="preserve">share </w:t>
      </w:r>
      <w:proofErr w:type="spellStart"/>
      <w:r w:rsidR="00F92666" w:rsidRPr="00FB3143">
        <w:rPr>
          <w:i/>
          <w:sz w:val="24"/>
          <w:szCs w:val="24"/>
        </w:rPr>
        <w:t>alike</w:t>
      </w:r>
      <w:proofErr w:type="spellEnd"/>
      <w:r w:rsidR="00005D4D" w:rsidRPr="00FB3143">
        <w:rPr>
          <w:i/>
          <w:sz w:val="24"/>
          <w:szCs w:val="24"/>
        </w:rPr>
        <w:t>)</w:t>
      </w:r>
      <w:r w:rsidR="002A44D9" w:rsidRPr="00FB3143">
        <w:rPr>
          <w:rStyle w:val="Rimandonotaapidipagina"/>
          <w:i/>
          <w:sz w:val="24"/>
          <w:szCs w:val="24"/>
        </w:rPr>
        <w:footnoteReference w:id="10"/>
      </w:r>
      <w:r w:rsidR="00786D88" w:rsidRPr="00FB3143">
        <w:rPr>
          <w:i/>
          <w:sz w:val="24"/>
          <w:szCs w:val="24"/>
        </w:rPr>
        <w:t xml:space="preserve"> </w:t>
      </w:r>
      <w:r w:rsidR="00786D88" w:rsidRPr="00FB3143">
        <w:rPr>
          <w:sz w:val="24"/>
          <w:szCs w:val="24"/>
        </w:rPr>
        <w:t>e che</w:t>
      </w:r>
      <w:r w:rsidR="00786D88" w:rsidRPr="00FB3143">
        <w:rPr>
          <w:i/>
          <w:sz w:val="24"/>
          <w:szCs w:val="24"/>
        </w:rPr>
        <w:t xml:space="preserve"> </w:t>
      </w:r>
      <w:r w:rsidR="00CF1C25" w:rsidRPr="00FB3143">
        <w:rPr>
          <w:sz w:val="24"/>
          <w:szCs w:val="24"/>
        </w:rPr>
        <w:t xml:space="preserve">occupano una posizione intermedia tra il regime di </w:t>
      </w:r>
      <w:r w:rsidR="00CF1C25" w:rsidRPr="00FB3143">
        <w:rPr>
          <w:i/>
          <w:sz w:val="24"/>
          <w:szCs w:val="24"/>
        </w:rPr>
        <w:t>copyright</w:t>
      </w:r>
      <w:r w:rsidR="00CF1C25" w:rsidRPr="00FB3143">
        <w:rPr>
          <w:sz w:val="24"/>
          <w:szCs w:val="24"/>
        </w:rPr>
        <w:t xml:space="preserve"> e quello del pubblico dominio, l’autore può decidere di avocare a sé</w:t>
      </w:r>
      <w:r w:rsidR="00F92666" w:rsidRPr="00FB3143">
        <w:rPr>
          <w:sz w:val="24"/>
          <w:szCs w:val="24"/>
        </w:rPr>
        <w:t xml:space="preserve">, ed eventualmente anche di revocare, </w:t>
      </w:r>
      <w:r w:rsidR="00CF1C25" w:rsidRPr="00FB3143">
        <w:rPr>
          <w:sz w:val="24"/>
          <w:szCs w:val="24"/>
        </w:rPr>
        <w:t xml:space="preserve">alcuni diritti del proprio lavoro </w:t>
      </w:r>
      <w:r w:rsidR="00F92666" w:rsidRPr="00FB3143">
        <w:rPr>
          <w:sz w:val="24"/>
          <w:szCs w:val="24"/>
        </w:rPr>
        <w:t xml:space="preserve">riguardanti la fruizione, l’utilizzo, la diffusione </w:t>
      </w:r>
      <w:r w:rsidR="00880041" w:rsidRPr="00FB3143">
        <w:rPr>
          <w:sz w:val="24"/>
          <w:szCs w:val="24"/>
        </w:rPr>
        <w:t>e la pubblicizzazione.</w:t>
      </w:r>
      <w:r w:rsidR="003E2606" w:rsidRPr="00FB3143">
        <w:rPr>
          <w:color w:val="FF0000"/>
          <w:sz w:val="24"/>
          <w:szCs w:val="24"/>
        </w:rPr>
        <w:t xml:space="preserve"> </w:t>
      </w:r>
    </w:p>
    <w:p w14:paraId="181341DD" w14:textId="77777777" w:rsidR="00DE1873" w:rsidRPr="00FB3143" w:rsidRDefault="00BD7217" w:rsidP="00A03198">
      <w:pPr>
        <w:spacing w:after="0" w:line="240" w:lineRule="auto"/>
        <w:ind w:firstLine="284"/>
        <w:jc w:val="both"/>
        <w:rPr>
          <w:sz w:val="24"/>
          <w:szCs w:val="24"/>
        </w:rPr>
      </w:pPr>
      <w:r w:rsidRPr="00FB3143">
        <w:rPr>
          <w:sz w:val="24"/>
          <w:szCs w:val="24"/>
        </w:rPr>
        <w:t>Si rileva infine come un deposito istituzionale in cui il personale dell’</w:t>
      </w:r>
      <w:r w:rsidR="008F2983" w:rsidRPr="00FB3143">
        <w:rPr>
          <w:sz w:val="24"/>
          <w:szCs w:val="24"/>
        </w:rPr>
        <w:t>a</w:t>
      </w:r>
      <w:r w:rsidRPr="00FB3143">
        <w:rPr>
          <w:sz w:val="24"/>
          <w:szCs w:val="24"/>
        </w:rPr>
        <w:t xml:space="preserve">teneo </w:t>
      </w:r>
      <w:proofErr w:type="spellStart"/>
      <w:r w:rsidRPr="00FB3143">
        <w:rPr>
          <w:sz w:val="24"/>
          <w:szCs w:val="24"/>
        </w:rPr>
        <w:t>autoarchivia</w:t>
      </w:r>
      <w:proofErr w:type="spellEnd"/>
      <w:r w:rsidRPr="00FB3143">
        <w:rPr>
          <w:sz w:val="24"/>
          <w:szCs w:val="24"/>
        </w:rPr>
        <w:t xml:space="preserve"> in formato digitale il full-text dei prodotti della ricerca (pubblicazioni, articoli, brevetti, partecipazioni a congressi…) diventa una componente integrante dell’anagrafe della ricerca, sia in termini quantitativi che qualitativi (</w:t>
      </w:r>
      <w:proofErr w:type="spellStart"/>
      <w:r w:rsidRPr="00FB3143">
        <w:rPr>
          <w:i/>
          <w:sz w:val="24"/>
          <w:szCs w:val="24"/>
        </w:rPr>
        <w:t>peer</w:t>
      </w:r>
      <w:proofErr w:type="spellEnd"/>
      <w:r w:rsidR="00F60065" w:rsidRPr="00FB3143">
        <w:rPr>
          <w:i/>
          <w:sz w:val="24"/>
          <w:szCs w:val="24"/>
        </w:rPr>
        <w:t xml:space="preserve"> </w:t>
      </w:r>
      <w:proofErr w:type="spellStart"/>
      <w:r w:rsidRPr="00FB3143">
        <w:rPr>
          <w:i/>
          <w:sz w:val="24"/>
          <w:szCs w:val="24"/>
        </w:rPr>
        <w:t>review</w:t>
      </w:r>
      <w:proofErr w:type="spellEnd"/>
      <w:r w:rsidRPr="00FB3143">
        <w:rPr>
          <w:i/>
          <w:sz w:val="24"/>
          <w:szCs w:val="24"/>
        </w:rPr>
        <w:t>),</w:t>
      </w:r>
      <w:r w:rsidRPr="00FB3143">
        <w:rPr>
          <w:sz w:val="24"/>
          <w:szCs w:val="24"/>
        </w:rPr>
        <w:t xml:space="preserve"> e, reso opportunamente interoperabile con essa, costituisce uno strumento di supporto al processo di valutazione dei prodotti della ricerca scientifica e consente un controllo completo sulla produzione intellettuale dell’</w:t>
      </w:r>
      <w:r w:rsidR="008F2983" w:rsidRPr="00FB3143">
        <w:rPr>
          <w:sz w:val="24"/>
          <w:szCs w:val="24"/>
        </w:rPr>
        <w:t>a</w:t>
      </w:r>
      <w:r w:rsidRPr="00FB3143">
        <w:rPr>
          <w:sz w:val="24"/>
          <w:szCs w:val="24"/>
        </w:rPr>
        <w:t xml:space="preserve">teneo nella sua globalità. </w:t>
      </w:r>
    </w:p>
    <w:p w14:paraId="65B097D8" w14:textId="3C2B03A4" w:rsidR="00E20488" w:rsidRDefault="00E20488" w:rsidP="00A03198">
      <w:pPr>
        <w:spacing w:after="0" w:line="240" w:lineRule="auto"/>
        <w:ind w:firstLine="284"/>
        <w:jc w:val="both"/>
        <w:rPr>
          <w:sz w:val="24"/>
          <w:szCs w:val="24"/>
        </w:rPr>
      </w:pPr>
      <w:r w:rsidRPr="00FB3143">
        <w:rPr>
          <w:sz w:val="24"/>
          <w:szCs w:val="24"/>
        </w:rPr>
        <w:t xml:space="preserve"> </w:t>
      </w:r>
    </w:p>
    <w:p w14:paraId="5937907B" w14:textId="77777777" w:rsidR="0081302F" w:rsidRPr="00FB3143" w:rsidRDefault="0081302F" w:rsidP="00A03198">
      <w:pPr>
        <w:spacing w:after="0" w:line="240" w:lineRule="auto"/>
        <w:ind w:firstLine="284"/>
        <w:jc w:val="both"/>
        <w:rPr>
          <w:sz w:val="24"/>
          <w:szCs w:val="24"/>
        </w:rPr>
      </w:pPr>
    </w:p>
    <w:p w14:paraId="42BE31A7" w14:textId="77777777" w:rsidR="00FD4C0D" w:rsidRPr="00FB3143" w:rsidRDefault="00FD4C0D" w:rsidP="00FD4C0D">
      <w:pPr>
        <w:numPr>
          <w:ilvl w:val="0"/>
          <w:numId w:val="5"/>
        </w:numPr>
        <w:spacing w:line="240" w:lineRule="auto"/>
        <w:ind w:left="568" w:hanging="284"/>
        <w:contextualSpacing/>
        <w:rPr>
          <w:b/>
          <w:sz w:val="24"/>
          <w:szCs w:val="24"/>
        </w:rPr>
      </w:pPr>
      <w:r w:rsidRPr="00FB3143">
        <w:rPr>
          <w:i/>
          <w:sz w:val="24"/>
          <w:szCs w:val="24"/>
        </w:rPr>
        <w:t>OA e il contesto normativo. Dal Sovrannazionale al Nazionale</w:t>
      </w:r>
      <w:r w:rsidRPr="00FB3143">
        <w:rPr>
          <w:b/>
          <w:sz w:val="24"/>
          <w:szCs w:val="24"/>
        </w:rPr>
        <w:t xml:space="preserve"> </w:t>
      </w:r>
    </w:p>
    <w:p w14:paraId="1583BAFF" w14:textId="77777777" w:rsidR="00BB7259" w:rsidRPr="00FB3143" w:rsidRDefault="00BB7259" w:rsidP="00BB7259">
      <w:pPr>
        <w:spacing w:line="240" w:lineRule="auto"/>
        <w:contextualSpacing/>
        <w:rPr>
          <w:b/>
          <w:sz w:val="24"/>
          <w:szCs w:val="24"/>
        </w:rPr>
      </w:pPr>
    </w:p>
    <w:p w14:paraId="79A98E9E" w14:textId="04D0299F" w:rsidR="00FD4C0D" w:rsidRPr="00FB3143" w:rsidRDefault="00FD4C0D" w:rsidP="00FD4C0D">
      <w:pPr>
        <w:spacing w:after="0" w:line="240" w:lineRule="auto"/>
        <w:ind w:firstLine="284"/>
        <w:jc w:val="both"/>
        <w:rPr>
          <w:sz w:val="24"/>
          <w:szCs w:val="24"/>
        </w:rPr>
      </w:pPr>
      <w:r w:rsidRPr="00FB3143">
        <w:rPr>
          <w:sz w:val="24"/>
          <w:szCs w:val="24"/>
        </w:rPr>
        <w:t>In un’accezione più ampia con OA si fa anche riferimento ad un movimento internazionale nato in ambito accademico che vuole promuovere la libera disponibilità on-line dei contributi scientifici. I</w:t>
      </w:r>
      <w:r w:rsidR="00FD5A26" w:rsidRPr="00FB3143">
        <w:rPr>
          <w:sz w:val="24"/>
          <w:szCs w:val="24"/>
        </w:rPr>
        <w:t>n</w:t>
      </w:r>
      <w:r w:rsidRPr="00FB3143">
        <w:rPr>
          <w:sz w:val="24"/>
          <w:szCs w:val="24"/>
        </w:rPr>
        <w:t xml:space="preserve"> tale contesto il diritto costituisce un meccanismo di condizionamento del comportamento degli attori della comunicazione, dell’editoria scientifica, ed infine degli autori. </w:t>
      </w:r>
    </w:p>
    <w:p w14:paraId="78D13643" w14:textId="560A155D" w:rsidR="00FD4C0D" w:rsidRDefault="00FD4C0D" w:rsidP="00FD4C0D">
      <w:pPr>
        <w:spacing w:line="240" w:lineRule="auto"/>
        <w:ind w:firstLine="284"/>
        <w:jc w:val="both"/>
        <w:rPr>
          <w:sz w:val="24"/>
          <w:szCs w:val="24"/>
        </w:rPr>
      </w:pPr>
      <w:r w:rsidRPr="00FB3143">
        <w:rPr>
          <w:sz w:val="24"/>
          <w:szCs w:val="24"/>
        </w:rPr>
        <w:t xml:space="preserve">La Commissione UE indica una strada per l’attuazione dell’OA di tipo multilivello: al primo livello si collocano le politiche dell’Unione, poi le norme degli stati membri al secondo livello, fino a un terzo livello dato dalle </w:t>
      </w:r>
      <w:r w:rsidR="00B61ACF" w:rsidRPr="00FB3143">
        <w:rPr>
          <w:sz w:val="24"/>
          <w:szCs w:val="24"/>
        </w:rPr>
        <w:t>politiche</w:t>
      </w:r>
      <w:r w:rsidRPr="00FB3143">
        <w:rPr>
          <w:sz w:val="24"/>
          <w:szCs w:val="24"/>
        </w:rPr>
        <w:t xml:space="preserve"> degli enti ed istituzioni finanziatori, finanziati con fondi pubblici.</w:t>
      </w:r>
    </w:p>
    <w:p w14:paraId="5BE273D7" w14:textId="77777777" w:rsidR="00ED3184" w:rsidRPr="00FB3143" w:rsidRDefault="00ED3184" w:rsidP="00FD4C0D">
      <w:pPr>
        <w:spacing w:line="240" w:lineRule="auto"/>
        <w:ind w:firstLine="284"/>
        <w:jc w:val="both"/>
        <w:rPr>
          <w:sz w:val="24"/>
          <w:szCs w:val="24"/>
        </w:rPr>
      </w:pPr>
    </w:p>
    <w:p w14:paraId="0D1B93B7" w14:textId="77777777" w:rsidR="00FD4C0D" w:rsidRPr="00FB3143" w:rsidRDefault="00FD4C0D" w:rsidP="00FD4C0D">
      <w:pPr>
        <w:numPr>
          <w:ilvl w:val="1"/>
          <w:numId w:val="18"/>
        </w:numPr>
        <w:spacing w:line="240" w:lineRule="auto"/>
        <w:ind w:left="568" w:hanging="284"/>
        <w:contextualSpacing/>
        <w:rPr>
          <w:sz w:val="24"/>
          <w:szCs w:val="24"/>
        </w:rPr>
      </w:pPr>
      <w:r w:rsidRPr="00FB3143">
        <w:rPr>
          <w:sz w:val="24"/>
          <w:szCs w:val="24"/>
        </w:rPr>
        <w:t xml:space="preserve"> </w:t>
      </w:r>
      <w:r w:rsidRPr="00FB3143">
        <w:rPr>
          <w:i/>
          <w:sz w:val="24"/>
          <w:szCs w:val="24"/>
        </w:rPr>
        <w:t xml:space="preserve">Le politiche dell’Unione. Il primo livello. </w:t>
      </w:r>
    </w:p>
    <w:p w14:paraId="08EE32FB" w14:textId="77777777" w:rsidR="007F7CC6" w:rsidRPr="00FB3143" w:rsidRDefault="007F7CC6" w:rsidP="007F7CC6">
      <w:pPr>
        <w:spacing w:line="240" w:lineRule="auto"/>
        <w:ind w:left="568"/>
        <w:contextualSpacing/>
        <w:rPr>
          <w:sz w:val="24"/>
          <w:szCs w:val="24"/>
        </w:rPr>
      </w:pPr>
    </w:p>
    <w:p w14:paraId="423B6347" w14:textId="77777777" w:rsidR="00FD4C0D" w:rsidRPr="00FB3143" w:rsidRDefault="00FD4C0D" w:rsidP="00FD4C0D">
      <w:pPr>
        <w:spacing w:after="0" w:line="240" w:lineRule="auto"/>
        <w:ind w:firstLine="284"/>
        <w:jc w:val="both"/>
        <w:rPr>
          <w:sz w:val="24"/>
          <w:szCs w:val="24"/>
        </w:rPr>
      </w:pPr>
      <w:r w:rsidRPr="00FB3143">
        <w:rPr>
          <w:sz w:val="24"/>
          <w:szCs w:val="24"/>
        </w:rPr>
        <w:t xml:space="preserve">Le dichiarazioni </w:t>
      </w:r>
      <w:proofErr w:type="spellStart"/>
      <w:r w:rsidRPr="00FB3143">
        <w:rPr>
          <w:sz w:val="24"/>
          <w:szCs w:val="24"/>
        </w:rPr>
        <w:t>fondative</w:t>
      </w:r>
      <w:proofErr w:type="spellEnd"/>
      <w:r w:rsidRPr="00FB3143">
        <w:rPr>
          <w:sz w:val="24"/>
          <w:szCs w:val="24"/>
        </w:rPr>
        <w:t xml:space="preserve"> del movimento OA a livello sovrannazionale sono tre:</w:t>
      </w:r>
    </w:p>
    <w:p w14:paraId="7B5C6FD5" w14:textId="35266C46" w:rsidR="008028B3" w:rsidRPr="00FB3143" w:rsidRDefault="008028B3" w:rsidP="008028B3">
      <w:pPr>
        <w:pStyle w:val="Paragrafoelenco"/>
        <w:numPr>
          <w:ilvl w:val="0"/>
          <w:numId w:val="28"/>
        </w:numPr>
        <w:spacing w:after="0" w:line="240" w:lineRule="auto"/>
        <w:ind w:left="641" w:hanging="357"/>
        <w:jc w:val="both"/>
        <w:rPr>
          <w:sz w:val="24"/>
          <w:szCs w:val="24"/>
        </w:rPr>
      </w:pPr>
      <w:r w:rsidRPr="00FB3143">
        <w:rPr>
          <w:sz w:val="24"/>
          <w:szCs w:val="24"/>
        </w:rPr>
        <w:t xml:space="preserve">la Budapest Open Access </w:t>
      </w:r>
      <w:proofErr w:type="spellStart"/>
      <w:r w:rsidRPr="00FB3143">
        <w:rPr>
          <w:sz w:val="24"/>
          <w:szCs w:val="24"/>
        </w:rPr>
        <w:t>Initiative</w:t>
      </w:r>
      <w:proofErr w:type="spellEnd"/>
      <w:r w:rsidRPr="00FB3143">
        <w:rPr>
          <w:sz w:val="24"/>
          <w:szCs w:val="24"/>
        </w:rPr>
        <w:t xml:space="preserve"> (febbraio 2002)</w:t>
      </w:r>
      <w:r w:rsidRPr="00FB3143">
        <w:rPr>
          <w:rStyle w:val="Rimandonotaapidipagina"/>
          <w:sz w:val="24"/>
          <w:szCs w:val="24"/>
        </w:rPr>
        <w:footnoteReference w:id="11"/>
      </w:r>
      <w:r w:rsidRPr="00FB3143">
        <w:rPr>
          <w:sz w:val="24"/>
          <w:szCs w:val="24"/>
        </w:rPr>
        <w:t xml:space="preserve"> che, scaturita dalla campagna mondiale lanciata dalla BOAI (Iniziativa di Budapest per l’accesso aperto) a tutta la ricerca recente soggetta a revisione paritaria, è la prima ad usare l’espressione “accesso aperto” per indicare la disponibilità online, libera e senza restrizioni della letteratura scientifica, articolandone una definizione pubblica e proponendo strategie complementari di realizzazione con l’</w:t>
      </w:r>
      <w:proofErr w:type="spellStart"/>
      <w:r w:rsidRPr="00FB3143">
        <w:rPr>
          <w:sz w:val="24"/>
          <w:szCs w:val="24"/>
        </w:rPr>
        <w:t>autoarchiviazione</w:t>
      </w:r>
      <w:proofErr w:type="spellEnd"/>
      <w:r w:rsidRPr="00FB3143">
        <w:rPr>
          <w:sz w:val="24"/>
          <w:szCs w:val="24"/>
        </w:rPr>
        <w:t xml:space="preserve"> e l’utilizzo di riviste </w:t>
      </w:r>
      <w:r w:rsidR="004A210E" w:rsidRPr="00FB3143">
        <w:rPr>
          <w:sz w:val="24"/>
          <w:szCs w:val="24"/>
        </w:rPr>
        <w:t>OA</w:t>
      </w:r>
      <w:r w:rsidRPr="00FB3143">
        <w:rPr>
          <w:sz w:val="24"/>
          <w:szCs w:val="24"/>
        </w:rPr>
        <w:t xml:space="preserve"> (la </w:t>
      </w:r>
      <w:r w:rsidRPr="00FB3143">
        <w:rPr>
          <w:i/>
          <w:sz w:val="24"/>
          <w:szCs w:val="24"/>
        </w:rPr>
        <w:t>green road</w:t>
      </w:r>
      <w:r w:rsidRPr="00FB3143">
        <w:rPr>
          <w:sz w:val="24"/>
          <w:szCs w:val="24"/>
        </w:rPr>
        <w:t xml:space="preserve"> e la </w:t>
      </w:r>
      <w:proofErr w:type="spellStart"/>
      <w:r w:rsidRPr="00FB3143">
        <w:rPr>
          <w:i/>
          <w:sz w:val="24"/>
          <w:szCs w:val="24"/>
        </w:rPr>
        <w:t>gold</w:t>
      </w:r>
      <w:proofErr w:type="spellEnd"/>
      <w:r w:rsidRPr="00FB3143">
        <w:rPr>
          <w:i/>
          <w:sz w:val="24"/>
          <w:szCs w:val="24"/>
        </w:rPr>
        <w:t xml:space="preserve"> road</w:t>
      </w:r>
      <w:r w:rsidRPr="00FB3143">
        <w:rPr>
          <w:sz w:val="24"/>
          <w:szCs w:val="24"/>
        </w:rPr>
        <w:t xml:space="preserve">); l’ </w:t>
      </w:r>
      <w:r w:rsidRPr="00FB3143">
        <w:rPr>
          <w:sz w:val="24"/>
          <w:szCs w:val="24"/>
        </w:rPr>
        <w:lastRenderedPageBreak/>
        <w:t>appello viene esteso per la prima vota a tutte le discipline e a tutti i paesi ottenendo un sostegno finanziario significativo</w:t>
      </w:r>
      <w:r w:rsidRPr="00FB3143">
        <w:rPr>
          <w:rStyle w:val="Rimandonotaapidipagina"/>
          <w:sz w:val="24"/>
          <w:szCs w:val="24"/>
        </w:rPr>
        <w:footnoteReference w:id="12"/>
      </w:r>
      <w:r w:rsidRPr="00FB3143">
        <w:rPr>
          <w:sz w:val="24"/>
          <w:szCs w:val="24"/>
        </w:rPr>
        <w:t xml:space="preserve">.  </w:t>
      </w:r>
    </w:p>
    <w:p w14:paraId="243B44CD" w14:textId="77777777" w:rsidR="00FD4C0D" w:rsidRPr="00FB3143" w:rsidRDefault="00FD4C0D" w:rsidP="00F76143">
      <w:pPr>
        <w:pStyle w:val="Paragrafoelenco"/>
        <w:numPr>
          <w:ilvl w:val="0"/>
          <w:numId w:val="27"/>
        </w:numPr>
        <w:spacing w:after="0" w:line="240" w:lineRule="auto"/>
        <w:jc w:val="both"/>
        <w:rPr>
          <w:rFonts w:cstheme="minorHAnsi"/>
          <w:sz w:val="24"/>
          <w:szCs w:val="24"/>
        </w:rPr>
      </w:pPr>
      <w:r w:rsidRPr="00FB3143">
        <w:rPr>
          <w:rFonts w:cstheme="minorHAnsi"/>
          <w:sz w:val="24"/>
          <w:szCs w:val="24"/>
        </w:rPr>
        <w:t>la Bethesda Statement on Open Access Publishing (giugno 2003)</w:t>
      </w:r>
      <w:r w:rsidRPr="00FB3143">
        <w:rPr>
          <w:rStyle w:val="Rimandonotaapidipagina"/>
          <w:rFonts w:cstheme="minorHAnsi"/>
          <w:sz w:val="24"/>
          <w:szCs w:val="24"/>
        </w:rPr>
        <w:footnoteReference w:id="13"/>
      </w:r>
      <w:r w:rsidRPr="00FB3143">
        <w:rPr>
          <w:rFonts w:cstheme="minorHAnsi"/>
          <w:sz w:val="24"/>
          <w:szCs w:val="24"/>
        </w:rPr>
        <w:t xml:space="preserve"> che, partendo dall’esperienza della letteratura scientifica di area biomedica, riprende la definizione di “accesso aperto” della BOAI e definisce i due requisiti fondamentali di una pubblicazione OA, cioè:</w:t>
      </w:r>
    </w:p>
    <w:p w14:paraId="10CB4138" w14:textId="77777777" w:rsidR="00FD4C0D" w:rsidRPr="00FB3143" w:rsidRDefault="00FD4C0D" w:rsidP="00F76143">
      <w:pPr>
        <w:pStyle w:val="Paragrafoelenco"/>
        <w:numPr>
          <w:ilvl w:val="1"/>
          <w:numId w:val="27"/>
        </w:numPr>
        <w:spacing w:after="0" w:line="240" w:lineRule="auto"/>
        <w:jc w:val="both"/>
        <w:rPr>
          <w:rFonts w:cstheme="minorHAnsi"/>
          <w:sz w:val="24"/>
          <w:szCs w:val="24"/>
        </w:rPr>
      </w:pPr>
      <w:r w:rsidRPr="00FB3143">
        <w:rPr>
          <w:rFonts w:cstheme="minorHAnsi"/>
          <w:sz w:val="24"/>
          <w:szCs w:val="24"/>
        </w:rPr>
        <w:t>«garantire a tutti i possibili utenti il diritto di accesso gratuito e l’autorizzazione libera, irrevocabile, estesa e perpetua, a riprodurre, scaricare, distribuire, stampare per uso personale l’opera dell’ingegno di cui l’autore rimane unico detentore dei diritti materiali e immateriali, purché ne sia riconosciuta la paternità intellettuale»;</w:t>
      </w:r>
    </w:p>
    <w:p w14:paraId="6091C587" w14:textId="77777777" w:rsidR="00FD4C0D" w:rsidRPr="00FB3143" w:rsidRDefault="00FD4C0D" w:rsidP="00F76143">
      <w:pPr>
        <w:pStyle w:val="Paragrafoelenco"/>
        <w:numPr>
          <w:ilvl w:val="1"/>
          <w:numId w:val="27"/>
        </w:numPr>
        <w:spacing w:after="0" w:line="240" w:lineRule="auto"/>
        <w:jc w:val="both"/>
        <w:rPr>
          <w:sz w:val="24"/>
          <w:szCs w:val="24"/>
        </w:rPr>
      </w:pPr>
      <w:r w:rsidRPr="00FB3143">
        <w:rPr>
          <w:sz w:val="24"/>
          <w:szCs w:val="24"/>
        </w:rPr>
        <w:t>«essere depositata in un archivio in linea che impiega standard tecnici adeguati e in un formato elettronico che rispetti uno standard riconosciuto a livello internazionale».</w:t>
      </w:r>
    </w:p>
    <w:p w14:paraId="5353B11F" w14:textId="77777777" w:rsidR="00FD4C0D" w:rsidRPr="00FB3143" w:rsidRDefault="00FD4C0D" w:rsidP="00F76143">
      <w:pPr>
        <w:pStyle w:val="Paragrafoelenco"/>
        <w:numPr>
          <w:ilvl w:val="0"/>
          <w:numId w:val="27"/>
        </w:numPr>
        <w:spacing w:after="0" w:line="240" w:lineRule="auto"/>
        <w:jc w:val="both"/>
        <w:rPr>
          <w:sz w:val="24"/>
          <w:szCs w:val="24"/>
        </w:rPr>
      </w:pPr>
      <w:r w:rsidRPr="00FB3143">
        <w:rPr>
          <w:sz w:val="24"/>
          <w:szCs w:val="24"/>
        </w:rPr>
        <w:t xml:space="preserve">la </w:t>
      </w:r>
      <w:proofErr w:type="spellStart"/>
      <w:r w:rsidRPr="00FB3143">
        <w:rPr>
          <w:sz w:val="24"/>
          <w:szCs w:val="24"/>
        </w:rPr>
        <w:t>Berlin</w:t>
      </w:r>
      <w:proofErr w:type="spellEnd"/>
      <w:r w:rsidRPr="00FB3143">
        <w:rPr>
          <w:sz w:val="24"/>
          <w:szCs w:val="24"/>
        </w:rPr>
        <w:t xml:space="preserve"> </w:t>
      </w:r>
      <w:proofErr w:type="spellStart"/>
      <w:r w:rsidRPr="00FB3143">
        <w:rPr>
          <w:sz w:val="24"/>
          <w:szCs w:val="24"/>
        </w:rPr>
        <w:t>Declaration</w:t>
      </w:r>
      <w:proofErr w:type="spellEnd"/>
      <w:r w:rsidRPr="00FB3143">
        <w:rPr>
          <w:sz w:val="24"/>
          <w:szCs w:val="24"/>
        </w:rPr>
        <w:t xml:space="preserve"> on Open Access to Knowledge in the </w:t>
      </w:r>
      <w:proofErr w:type="spellStart"/>
      <w:r w:rsidRPr="00FB3143">
        <w:rPr>
          <w:sz w:val="24"/>
          <w:szCs w:val="24"/>
        </w:rPr>
        <w:t>Sciences</w:t>
      </w:r>
      <w:proofErr w:type="spellEnd"/>
      <w:r w:rsidRPr="00FB3143">
        <w:rPr>
          <w:sz w:val="24"/>
          <w:szCs w:val="24"/>
        </w:rPr>
        <w:t xml:space="preserve"> and </w:t>
      </w:r>
      <w:proofErr w:type="spellStart"/>
      <w:r w:rsidRPr="00FB3143">
        <w:rPr>
          <w:sz w:val="24"/>
          <w:szCs w:val="24"/>
        </w:rPr>
        <w:t>Humanities</w:t>
      </w:r>
      <w:proofErr w:type="spellEnd"/>
      <w:r w:rsidRPr="00FB3143">
        <w:rPr>
          <w:sz w:val="24"/>
          <w:szCs w:val="24"/>
        </w:rPr>
        <w:t xml:space="preserve"> (ottobre 2003)</w:t>
      </w:r>
      <w:r w:rsidRPr="00FB3143">
        <w:rPr>
          <w:rStyle w:val="Rimandonotaapidipagina"/>
          <w:sz w:val="24"/>
          <w:szCs w:val="24"/>
        </w:rPr>
        <w:footnoteReference w:id="14"/>
      </w:r>
      <w:r w:rsidRPr="00FB3143">
        <w:rPr>
          <w:sz w:val="24"/>
          <w:szCs w:val="24"/>
        </w:rPr>
        <w:t xml:space="preserve">, che sintetizza i principi delle precedenti dichiarazioni e viene sottoscritta da oltre 40 tra enti ricerca, </w:t>
      </w:r>
      <w:r w:rsidR="00F76143" w:rsidRPr="00FB3143">
        <w:rPr>
          <w:sz w:val="24"/>
          <w:szCs w:val="24"/>
        </w:rPr>
        <w:t>università</w:t>
      </w:r>
      <w:r w:rsidRPr="00FB3143">
        <w:rPr>
          <w:sz w:val="24"/>
          <w:szCs w:val="24"/>
        </w:rPr>
        <w:t xml:space="preserve">, fondazioni, musei, archivi, enti finanziatori di ricerca, società professionali in Europa e nel mondo. Il documento sancisce l'impegno da parte di queste istituzioni a sostenere l'importanza dell'accesso aperto come strumento per la disseminazione della conoscenza e </w:t>
      </w:r>
      <w:r w:rsidR="00B61ACF" w:rsidRPr="00FB3143">
        <w:rPr>
          <w:sz w:val="24"/>
          <w:szCs w:val="24"/>
        </w:rPr>
        <w:t>per</w:t>
      </w:r>
      <w:r w:rsidRPr="00FB3143">
        <w:rPr>
          <w:sz w:val="24"/>
          <w:szCs w:val="24"/>
        </w:rPr>
        <w:t xml:space="preserve"> la diffusione della conoscenza scientifica tramite Internet.</w:t>
      </w:r>
    </w:p>
    <w:p w14:paraId="4CBECD60" w14:textId="15E13590" w:rsidR="00FD4C0D" w:rsidRPr="00FB3143" w:rsidRDefault="00FD4C0D" w:rsidP="00FD4C0D">
      <w:pPr>
        <w:spacing w:after="0" w:line="240" w:lineRule="auto"/>
        <w:ind w:firstLine="284"/>
        <w:jc w:val="both"/>
        <w:rPr>
          <w:strike/>
          <w:sz w:val="24"/>
          <w:szCs w:val="24"/>
        </w:rPr>
      </w:pPr>
      <w:r w:rsidRPr="00FB3143">
        <w:rPr>
          <w:sz w:val="24"/>
          <w:szCs w:val="24"/>
        </w:rPr>
        <w:t>Nell’ultimo decennio l’Unione Europea ha impresso un’accelerazione alla promozione del principio dell’accesso aperto</w:t>
      </w:r>
      <w:r w:rsidR="007F7CC6" w:rsidRPr="00FB3143">
        <w:rPr>
          <w:sz w:val="24"/>
          <w:szCs w:val="24"/>
        </w:rPr>
        <w:t>.</w:t>
      </w:r>
      <w:r w:rsidRPr="00FB3143">
        <w:rPr>
          <w:rStyle w:val="Rimandonotaapidipagina"/>
          <w:sz w:val="24"/>
          <w:szCs w:val="24"/>
        </w:rPr>
        <w:footnoteReference w:id="15"/>
      </w:r>
    </w:p>
    <w:p w14:paraId="4ED9B0EB" w14:textId="77777777" w:rsidR="00FD4C0D" w:rsidRPr="00FB3143" w:rsidRDefault="00FD4C0D" w:rsidP="00FD4C0D">
      <w:pPr>
        <w:spacing w:after="0" w:line="240" w:lineRule="auto"/>
        <w:ind w:firstLine="284"/>
        <w:jc w:val="both"/>
        <w:rPr>
          <w:sz w:val="24"/>
          <w:szCs w:val="24"/>
        </w:rPr>
      </w:pPr>
      <w:r w:rsidRPr="00FB3143">
        <w:rPr>
          <w:sz w:val="24"/>
          <w:szCs w:val="24"/>
        </w:rPr>
        <w:t xml:space="preserve">La Commissione europea è fortemente orientata a mettere in atto politiche che spingano verso una più forte cultura dell’OA e tale orientamento è manifestato mediante due canali. Un primo canale è quello di inviare agli stati membri raccomandazioni a rendere pubblicamente accessibili i prodotti della ricerca accademico-scientifica. Un secondo canale è quello di subordinare il finanziamento dei progetti europei di ricerca al deposito degli articoli su archivi aperti. </w:t>
      </w:r>
    </w:p>
    <w:p w14:paraId="0DFBF341" w14:textId="24B51178" w:rsidR="001C4DEA" w:rsidRPr="00FB3143" w:rsidRDefault="00FD4C0D" w:rsidP="00FD4C0D">
      <w:pPr>
        <w:spacing w:after="0" w:line="240" w:lineRule="auto"/>
        <w:jc w:val="both"/>
        <w:rPr>
          <w:sz w:val="24"/>
          <w:szCs w:val="24"/>
        </w:rPr>
      </w:pPr>
      <w:r w:rsidRPr="00FB3143">
        <w:rPr>
          <w:sz w:val="24"/>
          <w:szCs w:val="24"/>
        </w:rPr>
        <w:t xml:space="preserve">Per quanto riguarda il primo canale si ricordano fra i documenti del 17 luglio 2012: </w:t>
      </w:r>
    </w:p>
    <w:p w14:paraId="0B08A8F6" w14:textId="77777777" w:rsidR="001C4DEA" w:rsidRPr="00FB3143" w:rsidRDefault="001C4DEA" w:rsidP="001C4DEA">
      <w:pPr>
        <w:numPr>
          <w:ilvl w:val="0"/>
          <w:numId w:val="30"/>
        </w:numPr>
        <w:spacing w:after="0" w:line="240" w:lineRule="auto"/>
        <w:jc w:val="both"/>
        <w:rPr>
          <w:sz w:val="24"/>
          <w:szCs w:val="24"/>
        </w:rPr>
      </w:pPr>
      <w:r w:rsidRPr="00FB3143">
        <w:rPr>
          <w:sz w:val="24"/>
          <w:szCs w:val="24"/>
        </w:rPr>
        <w:t xml:space="preserve">una comunicazione, </w:t>
      </w:r>
      <w:r w:rsidRPr="00FB3143">
        <w:rPr>
          <w:i/>
          <w:sz w:val="24"/>
          <w:szCs w:val="24"/>
        </w:rPr>
        <w:t>Verso un accesso migliore alle informazioni scientifiche: aumentare i benefici dell’investimento pubblico nella ricerca;</w:t>
      </w:r>
      <w:r w:rsidRPr="00FB3143">
        <w:rPr>
          <w:sz w:val="24"/>
          <w:szCs w:val="24"/>
          <w:vertAlign w:val="superscript"/>
        </w:rPr>
        <w:footnoteReference w:id="16"/>
      </w:r>
      <w:r w:rsidRPr="00FB3143">
        <w:rPr>
          <w:i/>
          <w:sz w:val="24"/>
          <w:szCs w:val="24"/>
        </w:rPr>
        <w:t xml:space="preserve"> </w:t>
      </w:r>
    </w:p>
    <w:p w14:paraId="66469AA4" w14:textId="77777777" w:rsidR="001C4DEA" w:rsidRPr="00FB3143" w:rsidRDefault="001C4DEA" w:rsidP="001C4DEA">
      <w:pPr>
        <w:numPr>
          <w:ilvl w:val="0"/>
          <w:numId w:val="30"/>
        </w:numPr>
        <w:spacing w:after="0" w:line="240" w:lineRule="auto"/>
        <w:jc w:val="both"/>
        <w:rPr>
          <w:sz w:val="24"/>
          <w:szCs w:val="24"/>
        </w:rPr>
      </w:pPr>
      <w:r w:rsidRPr="00FB3143">
        <w:rPr>
          <w:sz w:val="24"/>
          <w:szCs w:val="24"/>
        </w:rPr>
        <w:t xml:space="preserve">una raccomandazione, </w:t>
      </w:r>
      <w:r w:rsidRPr="00FB3143">
        <w:rPr>
          <w:i/>
          <w:sz w:val="24"/>
          <w:szCs w:val="24"/>
        </w:rPr>
        <w:t>Raccomandazione della Commissione sull’accesso all’informazione scientifica e sulla sua conservazione</w:t>
      </w:r>
      <w:r w:rsidRPr="00FB3143">
        <w:rPr>
          <w:i/>
          <w:sz w:val="24"/>
          <w:szCs w:val="24"/>
          <w:vertAlign w:val="superscript"/>
        </w:rPr>
        <w:footnoteReference w:id="17"/>
      </w:r>
      <w:r w:rsidRPr="00FB3143">
        <w:rPr>
          <w:sz w:val="24"/>
          <w:szCs w:val="24"/>
        </w:rPr>
        <w:t xml:space="preserve">, rivolta alle istituzioni accademiche che devono definire e attuare politiche per la diffusione delle pubblicazioni scientifiche e l’accesso aperto alle stesse nonché politiche per la conservazione a lungo termine delle pubblicazioni scientifiche; </w:t>
      </w:r>
    </w:p>
    <w:p w14:paraId="4F3B7180" w14:textId="77777777" w:rsidR="007F7CC6" w:rsidRPr="00FB3143" w:rsidRDefault="001C4DEA" w:rsidP="001C4DEA">
      <w:pPr>
        <w:numPr>
          <w:ilvl w:val="0"/>
          <w:numId w:val="30"/>
        </w:numPr>
        <w:spacing w:after="0" w:line="240" w:lineRule="auto"/>
        <w:jc w:val="both"/>
        <w:rPr>
          <w:sz w:val="24"/>
          <w:szCs w:val="24"/>
        </w:rPr>
      </w:pPr>
      <w:r w:rsidRPr="00FB3143">
        <w:rPr>
          <w:sz w:val="24"/>
          <w:szCs w:val="24"/>
        </w:rPr>
        <w:t xml:space="preserve">ed infine un documento di accompagnamento alla raccomandazione, </w:t>
      </w:r>
      <w:r w:rsidRPr="00FB3143">
        <w:rPr>
          <w:bCs/>
          <w:i/>
          <w:sz w:val="24"/>
          <w:szCs w:val="24"/>
        </w:rPr>
        <w:t>Documento di</w:t>
      </w:r>
      <w:r w:rsidRPr="00FB3143">
        <w:rPr>
          <w:i/>
          <w:sz w:val="24"/>
          <w:szCs w:val="24"/>
        </w:rPr>
        <w:t> lavoro </w:t>
      </w:r>
      <w:r w:rsidRPr="00FB3143">
        <w:rPr>
          <w:bCs/>
          <w:i/>
          <w:sz w:val="24"/>
          <w:szCs w:val="24"/>
        </w:rPr>
        <w:t>dei</w:t>
      </w:r>
      <w:r w:rsidRPr="00FB3143">
        <w:rPr>
          <w:i/>
          <w:sz w:val="24"/>
          <w:szCs w:val="24"/>
        </w:rPr>
        <w:t> servizi </w:t>
      </w:r>
      <w:r w:rsidRPr="00FB3143">
        <w:rPr>
          <w:bCs/>
          <w:i/>
          <w:sz w:val="24"/>
          <w:szCs w:val="24"/>
        </w:rPr>
        <w:t>della Commissione</w:t>
      </w:r>
      <w:r w:rsidRPr="00FB3143">
        <w:rPr>
          <w:i/>
          <w:sz w:val="24"/>
          <w:szCs w:val="24"/>
        </w:rPr>
        <w:t>: </w:t>
      </w:r>
      <w:r w:rsidRPr="00FB3143">
        <w:rPr>
          <w:bCs/>
          <w:i/>
          <w:sz w:val="24"/>
          <w:szCs w:val="24"/>
        </w:rPr>
        <w:t>Sintesi della valutazione</w:t>
      </w:r>
      <w:r w:rsidRPr="00FB3143">
        <w:rPr>
          <w:i/>
          <w:sz w:val="24"/>
          <w:szCs w:val="24"/>
        </w:rPr>
        <w:t> d'</w:t>
      </w:r>
      <w:r w:rsidRPr="00FB3143">
        <w:rPr>
          <w:bCs/>
          <w:i/>
          <w:sz w:val="24"/>
          <w:szCs w:val="24"/>
        </w:rPr>
        <w:t>impatto che accompagna</w:t>
      </w:r>
      <w:r w:rsidRPr="00FB3143">
        <w:rPr>
          <w:i/>
          <w:sz w:val="24"/>
          <w:szCs w:val="24"/>
        </w:rPr>
        <w:t> il </w:t>
      </w:r>
      <w:r w:rsidRPr="00FB3143">
        <w:rPr>
          <w:bCs/>
          <w:i/>
          <w:sz w:val="24"/>
          <w:szCs w:val="24"/>
        </w:rPr>
        <w:t>documento Raccomandazione sull'accesso all'informazione scientifica e sulla sua conservazione</w:t>
      </w:r>
      <w:r w:rsidRPr="00FB3143">
        <w:rPr>
          <w:bCs/>
          <w:i/>
          <w:sz w:val="24"/>
          <w:szCs w:val="24"/>
          <w:vertAlign w:val="superscript"/>
        </w:rPr>
        <w:footnoteReference w:id="18"/>
      </w:r>
      <w:r w:rsidR="007F7CC6" w:rsidRPr="00FB3143">
        <w:rPr>
          <w:sz w:val="24"/>
          <w:szCs w:val="24"/>
        </w:rPr>
        <w:t>.</w:t>
      </w:r>
    </w:p>
    <w:p w14:paraId="3DA7650A" w14:textId="367E14F7" w:rsidR="001C4DEA" w:rsidRPr="00FB3143" w:rsidRDefault="001C4DEA" w:rsidP="007F7CC6">
      <w:pPr>
        <w:spacing w:after="0" w:line="240" w:lineRule="auto"/>
        <w:ind w:firstLine="360"/>
        <w:jc w:val="both"/>
        <w:rPr>
          <w:sz w:val="24"/>
          <w:szCs w:val="24"/>
        </w:rPr>
      </w:pPr>
      <w:r w:rsidRPr="00FB3143">
        <w:rPr>
          <w:sz w:val="24"/>
          <w:szCs w:val="24"/>
        </w:rPr>
        <w:lastRenderedPageBreak/>
        <w:t>Nello specifico le raccomandazioni evidenziano l’importanza di policy chiare sulla diffusione di contributi prodotti nell’ambito di attività di ricerca finanziate con fondi pubblici (fatta salva la legislazione sul diritto d’autore), la necessità di una pianificazione finanziaria associata che assicuri anche infrastrutture elettroniche adeguate all’interoperabilità, alla diffusione e alla conservazione, nonché un sistema di reclutamento e valutazione delle carriere dei ricercatori che premi l’adesione alla cultura della condivisione dei risultati della ricerca.</w:t>
      </w:r>
    </w:p>
    <w:p w14:paraId="0EDADB8F" w14:textId="77777777" w:rsidR="00FD4C0D" w:rsidRPr="00FB3143" w:rsidRDefault="00FD4C0D" w:rsidP="007F7CC6">
      <w:pPr>
        <w:spacing w:after="0" w:line="240" w:lineRule="auto"/>
        <w:ind w:firstLine="284"/>
        <w:jc w:val="both"/>
        <w:rPr>
          <w:color w:val="FF0000"/>
          <w:sz w:val="24"/>
          <w:szCs w:val="24"/>
        </w:rPr>
      </w:pPr>
      <w:r w:rsidRPr="00FB3143">
        <w:rPr>
          <w:sz w:val="24"/>
          <w:szCs w:val="24"/>
        </w:rPr>
        <w:t>Per quanto riguarda il secondo canale, a partire dal Settimo Programma Quadro</w:t>
      </w:r>
      <w:r w:rsidRPr="00FB3143">
        <w:rPr>
          <w:rStyle w:val="Rimandonotaapidipagina"/>
          <w:sz w:val="24"/>
          <w:szCs w:val="24"/>
        </w:rPr>
        <w:footnoteReference w:id="19"/>
      </w:r>
      <w:r w:rsidRPr="00FB3143">
        <w:rPr>
          <w:sz w:val="24"/>
          <w:szCs w:val="24"/>
        </w:rPr>
        <w:t>, fino ad arrivare ad Horizon2020</w:t>
      </w:r>
      <w:r w:rsidRPr="00FB3143">
        <w:rPr>
          <w:rStyle w:val="Rimandonotaapidipagina"/>
          <w:sz w:val="24"/>
          <w:szCs w:val="24"/>
        </w:rPr>
        <w:footnoteReference w:id="20"/>
      </w:r>
      <w:r w:rsidRPr="00FB3143">
        <w:rPr>
          <w:sz w:val="24"/>
          <w:szCs w:val="24"/>
        </w:rPr>
        <w:t xml:space="preserve">, è obbligatorio il deposito su archivio istituzionale o disciplinare delle pubblicazioni scaturite da lavori di ricerca finanziati da fondi europei. In particolare fra le iniziative connesse al Settimo Programma Quadro la Commissione ha previsto che fondi specifici siano messi a disposizione per il rimborso delle spese sostenute per la pubblicazione dei contributi in riviste OA (seguendo quindi la </w:t>
      </w:r>
      <w:proofErr w:type="spellStart"/>
      <w:r w:rsidRPr="00FB3143">
        <w:rPr>
          <w:i/>
          <w:sz w:val="24"/>
          <w:szCs w:val="24"/>
        </w:rPr>
        <w:t>gold</w:t>
      </w:r>
      <w:proofErr w:type="spellEnd"/>
      <w:r w:rsidRPr="00FB3143">
        <w:rPr>
          <w:i/>
          <w:sz w:val="24"/>
          <w:szCs w:val="24"/>
        </w:rPr>
        <w:t xml:space="preserve"> road</w:t>
      </w:r>
      <w:r w:rsidRPr="00FB3143">
        <w:rPr>
          <w:sz w:val="24"/>
          <w:szCs w:val="24"/>
        </w:rPr>
        <w:t xml:space="preserve">); inoltre ha previsto un progetto pilota sull’OA per il deposito e la pubblicazione in OA su archivi aperti (seguendo quindi </w:t>
      </w:r>
      <w:proofErr w:type="gramStart"/>
      <w:r w:rsidRPr="00FB3143">
        <w:rPr>
          <w:sz w:val="24"/>
          <w:szCs w:val="24"/>
        </w:rPr>
        <w:t xml:space="preserve">la </w:t>
      </w:r>
      <w:r w:rsidRPr="00FB3143">
        <w:rPr>
          <w:i/>
          <w:sz w:val="24"/>
          <w:szCs w:val="24"/>
        </w:rPr>
        <w:t>green</w:t>
      </w:r>
      <w:proofErr w:type="gramEnd"/>
      <w:r w:rsidRPr="00FB3143">
        <w:rPr>
          <w:i/>
          <w:sz w:val="24"/>
          <w:szCs w:val="24"/>
        </w:rPr>
        <w:t xml:space="preserve"> road</w:t>
      </w:r>
      <w:r w:rsidRPr="00FB3143">
        <w:rPr>
          <w:sz w:val="24"/>
          <w:szCs w:val="24"/>
        </w:rPr>
        <w:t>) per alcuni dei settori della ricerca finanziati dal Settimo Programma Quadro.</w:t>
      </w:r>
      <w:r w:rsidRPr="00FB3143">
        <w:rPr>
          <w:color w:val="0070C0"/>
          <w:sz w:val="24"/>
          <w:szCs w:val="24"/>
        </w:rPr>
        <w:t xml:space="preserve"> </w:t>
      </w:r>
      <w:r w:rsidRPr="00FB3143">
        <w:rPr>
          <w:rFonts w:eastAsiaTheme="minorEastAsia" w:cs="Arial"/>
          <w:color w:val="000000"/>
          <w:sz w:val="24"/>
          <w:szCs w:val="24"/>
          <w:lang w:eastAsia="ja-JP"/>
        </w:rPr>
        <w:t>Nelle linee guida del programma H2020,</w:t>
      </w:r>
      <w:r w:rsidRPr="00FB3143">
        <w:rPr>
          <w:rStyle w:val="Rimandonotaapidipagina"/>
          <w:rFonts w:eastAsiaTheme="minorEastAsia" w:cs="Arial"/>
          <w:color w:val="000000"/>
          <w:sz w:val="24"/>
          <w:szCs w:val="24"/>
          <w:lang w:eastAsia="ja-JP"/>
        </w:rPr>
        <w:footnoteReference w:id="21"/>
      </w:r>
      <w:r w:rsidRPr="00FB3143">
        <w:rPr>
          <w:rFonts w:eastAsiaTheme="minorEastAsia" w:cs="Arial"/>
          <w:color w:val="000000"/>
          <w:sz w:val="24"/>
          <w:szCs w:val="24"/>
          <w:lang w:eastAsia="ja-JP"/>
        </w:rPr>
        <w:t>la Commissione Europea indica l’utilizzo de</w:t>
      </w:r>
      <w:r w:rsidR="003325C8" w:rsidRPr="00FB3143">
        <w:rPr>
          <w:rFonts w:eastAsiaTheme="minorEastAsia" w:cs="Arial"/>
          <w:color w:val="000000"/>
          <w:sz w:val="24"/>
          <w:szCs w:val="24"/>
          <w:lang w:eastAsia="ja-JP"/>
        </w:rPr>
        <w:t>l</w:t>
      </w:r>
      <w:r w:rsidRPr="00FB3143">
        <w:rPr>
          <w:rFonts w:eastAsiaTheme="minorEastAsia" w:cs="Arial"/>
          <w:color w:val="000000"/>
          <w:sz w:val="24"/>
          <w:szCs w:val="24"/>
          <w:lang w:eastAsia="ja-JP"/>
        </w:rPr>
        <w:t xml:space="preserve"> </w:t>
      </w:r>
      <w:proofErr w:type="spellStart"/>
      <w:r w:rsidRPr="00FB3143">
        <w:rPr>
          <w:rFonts w:eastAsiaTheme="minorEastAsia" w:cs="Arial"/>
          <w:i/>
          <w:color w:val="000000"/>
          <w:sz w:val="24"/>
          <w:szCs w:val="24"/>
          <w:lang w:eastAsia="ja-JP"/>
        </w:rPr>
        <w:t>repository</w:t>
      </w:r>
      <w:proofErr w:type="spellEnd"/>
      <w:r w:rsidRPr="00FB3143">
        <w:rPr>
          <w:rFonts w:eastAsiaTheme="minorEastAsia" w:cs="Arial"/>
          <w:color w:val="000000"/>
          <w:sz w:val="24"/>
          <w:szCs w:val="24"/>
          <w:lang w:eastAsia="ja-JP"/>
        </w:rPr>
        <w:t xml:space="preserve"> come strumento privilegiato per il deposito delle pubblicazioni e richiede che qualunque contributo elaborato nell'ambito del progetto H2020 sia depositato immediatamente dopo o non oltre 6 mesi dalla data ufficiale di pubblicazione (12 mesi per l’ambito SSH); ricorda quindi ai ricercatori che tutti gli articoli pubblicati durante il progetto, per i quali vengono pagate delle quote per la pubblicazione ad accesso aperto, sono rimborsabili se tali spese sono state previste nel budget.</w:t>
      </w:r>
      <w:r w:rsidRPr="00FB3143">
        <w:rPr>
          <w:rStyle w:val="Rimandonotaapidipagina"/>
          <w:rFonts w:eastAsiaTheme="minorEastAsia" w:cs="Arial"/>
          <w:color w:val="000000"/>
          <w:sz w:val="24"/>
          <w:szCs w:val="24"/>
          <w:lang w:eastAsia="ja-JP"/>
        </w:rPr>
        <w:footnoteReference w:id="22"/>
      </w:r>
      <w:r w:rsidRPr="00FB3143">
        <w:rPr>
          <w:sz w:val="24"/>
          <w:szCs w:val="24"/>
        </w:rPr>
        <w:t xml:space="preserve"> </w:t>
      </w:r>
    </w:p>
    <w:p w14:paraId="7D25B332" w14:textId="1982DDE4" w:rsidR="00FD4C0D" w:rsidRDefault="00FD4C0D" w:rsidP="00FD4C0D">
      <w:pPr>
        <w:spacing w:after="0" w:line="240" w:lineRule="auto"/>
        <w:jc w:val="both"/>
        <w:rPr>
          <w:color w:val="FF0000"/>
          <w:sz w:val="24"/>
          <w:szCs w:val="24"/>
        </w:rPr>
      </w:pPr>
    </w:p>
    <w:p w14:paraId="4C87450D" w14:textId="77777777" w:rsidR="00ED3184" w:rsidRPr="00FB3143" w:rsidRDefault="00ED3184" w:rsidP="00FD4C0D">
      <w:pPr>
        <w:spacing w:after="0" w:line="240" w:lineRule="auto"/>
        <w:jc w:val="both"/>
        <w:rPr>
          <w:color w:val="FF0000"/>
          <w:sz w:val="24"/>
          <w:szCs w:val="24"/>
        </w:rPr>
      </w:pPr>
    </w:p>
    <w:p w14:paraId="2A58727C" w14:textId="4E1BE872" w:rsidR="00FD4C0D" w:rsidRPr="00FB3143" w:rsidRDefault="00FD4C0D" w:rsidP="00FD4C0D">
      <w:pPr>
        <w:spacing w:line="240" w:lineRule="auto"/>
        <w:ind w:left="568" w:hanging="284"/>
        <w:rPr>
          <w:b/>
          <w:color w:val="FF0000"/>
          <w:sz w:val="24"/>
          <w:szCs w:val="24"/>
        </w:rPr>
      </w:pPr>
      <w:r w:rsidRPr="00FB3143">
        <w:rPr>
          <w:sz w:val="24"/>
          <w:szCs w:val="24"/>
        </w:rPr>
        <w:t>3.2</w:t>
      </w:r>
      <w:r w:rsidRPr="00FB3143">
        <w:rPr>
          <w:i/>
          <w:sz w:val="24"/>
          <w:szCs w:val="24"/>
        </w:rPr>
        <w:t xml:space="preserve"> Le politiche italiane. Il secondo livello.</w:t>
      </w:r>
      <w:r w:rsidRPr="00FB3143">
        <w:rPr>
          <w:b/>
          <w:sz w:val="24"/>
          <w:szCs w:val="24"/>
        </w:rPr>
        <w:t xml:space="preserve"> </w:t>
      </w:r>
    </w:p>
    <w:p w14:paraId="1E2CD97D" w14:textId="2E4AAA01" w:rsidR="00D27252" w:rsidRPr="00FB3143" w:rsidRDefault="00FD4C0D" w:rsidP="007F7CC6">
      <w:pPr>
        <w:spacing w:after="0" w:line="240" w:lineRule="auto"/>
        <w:ind w:firstLine="284"/>
        <w:jc w:val="both"/>
        <w:rPr>
          <w:sz w:val="24"/>
          <w:szCs w:val="24"/>
        </w:rPr>
      </w:pPr>
      <w:r w:rsidRPr="00FB3143">
        <w:rPr>
          <w:sz w:val="24"/>
          <w:szCs w:val="24"/>
        </w:rPr>
        <w:t xml:space="preserve">L’Italia ha vissuto una graduale convergenza all’obbligo della pubblicazione in OA che non è ancora del tutto compiuta. </w:t>
      </w:r>
      <w:r w:rsidR="00D27252" w:rsidRPr="00FB3143">
        <w:rPr>
          <w:sz w:val="24"/>
          <w:szCs w:val="24"/>
        </w:rPr>
        <w:t>Di seguito sono riassunti i principali passi compiuti.</w:t>
      </w:r>
    </w:p>
    <w:p w14:paraId="26DDE7CF" w14:textId="77777777" w:rsidR="007519C3" w:rsidRPr="00FB3143" w:rsidRDefault="007519C3" w:rsidP="007F7CC6">
      <w:pPr>
        <w:spacing w:after="0" w:line="240" w:lineRule="auto"/>
        <w:ind w:firstLine="284"/>
        <w:jc w:val="both"/>
        <w:rPr>
          <w:sz w:val="24"/>
          <w:szCs w:val="24"/>
        </w:rPr>
      </w:pPr>
      <w:r w:rsidRPr="00FB3143">
        <w:rPr>
          <w:sz w:val="24"/>
          <w:szCs w:val="24"/>
        </w:rPr>
        <w:t xml:space="preserve">La prima iniziativa prende avvio dalla CRUI che nel 2006 promuove, all’interno della sua Commissione Biblioteche, la costituzione del Gruppo di lavoro sull'open </w:t>
      </w:r>
      <w:proofErr w:type="spellStart"/>
      <w:r w:rsidRPr="00FB3143">
        <w:rPr>
          <w:sz w:val="24"/>
          <w:szCs w:val="24"/>
        </w:rPr>
        <w:t>access</w:t>
      </w:r>
      <w:proofErr w:type="spellEnd"/>
      <w:r w:rsidRPr="00FB3143">
        <w:rPr>
          <w:sz w:val="24"/>
          <w:szCs w:val="24"/>
        </w:rPr>
        <w:t>, con il compito di dare attuazione ai principi della Dichiarazione di Berlino. Il gruppo Open Access ha elaborato da allora una serie di linee guida non solo allo scopo di diffondere all’interno della comunità accademica la consapevolezza dei vantaggi dell’accesso aperto, ma anche, e soprattutto, per fornire indicazioni sulle migliori pratiche, sulle modalità di creazione e di gestione di archivi, sulla tipologia dei materiali destinati al deposito e sulla realizzazione di riviste elettroniche interoperabili con gli archivi aperti. Particolare attenzione è stata dedicata agli standard (anche dei metadati) e ai protocolli da utilizzare.</w:t>
      </w:r>
    </w:p>
    <w:p w14:paraId="2A12BEA7" w14:textId="77777777" w:rsidR="007519C3" w:rsidRPr="00FB3143" w:rsidRDefault="007519C3" w:rsidP="007F7CC6">
      <w:pPr>
        <w:spacing w:after="0" w:line="240" w:lineRule="auto"/>
        <w:ind w:firstLine="284"/>
        <w:jc w:val="both"/>
        <w:rPr>
          <w:sz w:val="24"/>
          <w:szCs w:val="24"/>
        </w:rPr>
      </w:pPr>
      <w:r w:rsidRPr="00FB3143">
        <w:rPr>
          <w:sz w:val="24"/>
          <w:szCs w:val="24"/>
        </w:rPr>
        <w:t xml:space="preserve">Nel 2007 vengono pubblicate le </w:t>
      </w:r>
      <w:r w:rsidRPr="00FB3143">
        <w:rPr>
          <w:i/>
          <w:sz w:val="24"/>
          <w:szCs w:val="24"/>
        </w:rPr>
        <w:t>Linee guida per il deposito delle tesi di dottorato negli archivi aperti</w:t>
      </w:r>
      <w:r w:rsidRPr="00FB3143">
        <w:rPr>
          <w:i/>
          <w:sz w:val="24"/>
          <w:szCs w:val="24"/>
          <w:vertAlign w:val="superscript"/>
        </w:rPr>
        <w:footnoteReference w:id="23"/>
      </w:r>
      <w:r w:rsidRPr="00FB3143">
        <w:rPr>
          <w:i/>
          <w:sz w:val="24"/>
          <w:szCs w:val="24"/>
        </w:rPr>
        <w:t xml:space="preserve"> </w:t>
      </w:r>
      <w:r w:rsidRPr="00FB3143">
        <w:rPr>
          <w:sz w:val="24"/>
          <w:szCs w:val="24"/>
        </w:rPr>
        <w:t xml:space="preserve">che riconoscono le tesi di dottorato come prodotti della ricerca a tutti gli effetti e, in linea con la Dichiarazione di Berlino e le raccomandazioni della Commissione Europea, ne sanciscono la natura pubblicamente accessibile. L’intento è quello di individuare uno standard nazionale nella raccolta ed esposizione dei dati, partendo da un confronto tra la realtà italiana e quella europea. </w:t>
      </w:r>
      <w:r w:rsidRPr="00FB3143">
        <w:rPr>
          <w:sz w:val="24"/>
          <w:szCs w:val="24"/>
        </w:rPr>
        <w:lastRenderedPageBreak/>
        <w:t xml:space="preserve">Dal documento è derivata la definizione, nell’ambito del progetto </w:t>
      </w:r>
      <w:r w:rsidRPr="00FB3143">
        <w:rPr>
          <w:i/>
          <w:sz w:val="24"/>
          <w:szCs w:val="24"/>
        </w:rPr>
        <w:t>Magazzini digitali</w:t>
      </w:r>
      <w:r w:rsidRPr="00FB3143">
        <w:rPr>
          <w:sz w:val="24"/>
          <w:szCs w:val="24"/>
        </w:rPr>
        <w:t>, delle procedure di raccolta automatica (</w:t>
      </w:r>
      <w:proofErr w:type="spellStart"/>
      <w:r w:rsidRPr="00FB3143">
        <w:rPr>
          <w:i/>
          <w:sz w:val="24"/>
          <w:szCs w:val="24"/>
        </w:rPr>
        <w:t>harvesting</w:t>
      </w:r>
      <w:proofErr w:type="spellEnd"/>
      <w:r w:rsidRPr="00FB3143">
        <w:rPr>
          <w:sz w:val="24"/>
          <w:szCs w:val="24"/>
        </w:rPr>
        <w:t>) dei dati e dei metadati delle tesi di dottorato di ricerca, ai fini del deposito legale presso le Biblioteche Nazionali Centrali di Firenze e di Roma, così come previsto dalla Circolare MIUR n. 1746 del 20 luglio 2007.</w:t>
      </w:r>
      <w:r w:rsidRPr="00FB3143">
        <w:rPr>
          <w:sz w:val="24"/>
          <w:szCs w:val="24"/>
          <w:vertAlign w:val="superscript"/>
        </w:rPr>
        <w:footnoteReference w:id="24"/>
      </w:r>
      <w:r w:rsidRPr="00FB3143">
        <w:rPr>
          <w:sz w:val="24"/>
          <w:szCs w:val="24"/>
        </w:rPr>
        <w:t xml:space="preserve"> </w:t>
      </w:r>
    </w:p>
    <w:p w14:paraId="2C28C6F7" w14:textId="77777777" w:rsidR="007519C3" w:rsidRPr="00FB3143" w:rsidRDefault="007519C3" w:rsidP="007519C3">
      <w:pPr>
        <w:spacing w:after="0" w:line="240" w:lineRule="auto"/>
        <w:jc w:val="both"/>
        <w:rPr>
          <w:sz w:val="24"/>
          <w:szCs w:val="24"/>
        </w:rPr>
      </w:pPr>
      <w:r w:rsidRPr="00FB3143">
        <w:rPr>
          <w:sz w:val="24"/>
          <w:szCs w:val="24"/>
        </w:rPr>
        <w:t>Seguono negli anni:</w:t>
      </w:r>
    </w:p>
    <w:p w14:paraId="3365B158" w14:textId="351586E2" w:rsidR="007519C3" w:rsidRPr="00FB3143" w:rsidRDefault="007519C3" w:rsidP="007519C3">
      <w:pPr>
        <w:numPr>
          <w:ilvl w:val="0"/>
          <w:numId w:val="25"/>
        </w:numPr>
        <w:spacing w:after="0" w:line="240" w:lineRule="auto"/>
        <w:jc w:val="both"/>
        <w:rPr>
          <w:sz w:val="24"/>
          <w:szCs w:val="24"/>
        </w:rPr>
      </w:pPr>
      <w:r w:rsidRPr="00FB3143">
        <w:rPr>
          <w:i/>
          <w:sz w:val="24"/>
          <w:szCs w:val="24"/>
        </w:rPr>
        <w:t>Linee guida per gli archivi istituzionali</w:t>
      </w:r>
      <w:r w:rsidRPr="00FB3143">
        <w:rPr>
          <w:sz w:val="24"/>
          <w:szCs w:val="24"/>
        </w:rPr>
        <w:t xml:space="preserve"> (2009)</w:t>
      </w:r>
      <w:r w:rsidRPr="00FB3143">
        <w:rPr>
          <w:sz w:val="24"/>
          <w:szCs w:val="24"/>
          <w:vertAlign w:val="superscript"/>
        </w:rPr>
        <w:footnoteReference w:id="25"/>
      </w:r>
      <w:r w:rsidRPr="00FB3143">
        <w:rPr>
          <w:sz w:val="24"/>
          <w:szCs w:val="24"/>
        </w:rPr>
        <w:t xml:space="preserve"> che analizzano ogni fase di pianificazione dell’archivio con le varie criticità e possibilità ed  auspicano che nelle università «l’idea stessa di </w:t>
      </w:r>
      <w:r w:rsidRPr="00FB3143">
        <w:rPr>
          <w:i/>
          <w:iCs/>
          <w:sz w:val="24"/>
          <w:szCs w:val="24"/>
        </w:rPr>
        <w:t xml:space="preserve">OA </w:t>
      </w:r>
      <w:r w:rsidRPr="00FB3143">
        <w:rPr>
          <w:sz w:val="24"/>
          <w:szCs w:val="24"/>
        </w:rPr>
        <w:t>venga inserita negli Statuti tra i valori fondanti».</w:t>
      </w:r>
      <w:r w:rsidRPr="00FB3143">
        <w:rPr>
          <w:sz w:val="24"/>
          <w:szCs w:val="24"/>
          <w:vertAlign w:val="superscript"/>
        </w:rPr>
        <w:footnoteReference w:id="26"/>
      </w:r>
      <w:r w:rsidRPr="00FB3143">
        <w:rPr>
          <w:sz w:val="24"/>
          <w:szCs w:val="24"/>
        </w:rPr>
        <w:t xml:space="preserve"> Gli  archivi vengono definiti come un’opportunità privilegiata per la ricerca scientifica, «uno strumento unico e strategico per pubblicizzare la produzione intellettuale dell’istituzione, massimizzandone la visibilità e l’impatto nei confronti dei vari portatori di interesse»</w:t>
      </w:r>
      <w:r w:rsidRPr="00FB3143">
        <w:rPr>
          <w:sz w:val="24"/>
          <w:szCs w:val="24"/>
          <w:vertAlign w:val="superscript"/>
        </w:rPr>
        <w:footnoteReference w:id="27"/>
      </w:r>
      <w:r w:rsidR="007F7CC6" w:rsidRPr="00FB3143">
        <w:rPr>
          <w:sz w:val="24"/>
          <w:szCs w:val="24"/>
        </w:rPr>
        <w:t>.</w:t>
      </w:r>
      <w:r w:rsidRPr="00FB3143">
        <w:rPr>
          <w:sz w:val="24"/>
          <w:szCs w:val="24"/>
        </w:rPr>
        <w:t xml:space="preserve"> </w:t>
      </w:r>
      <w:r w:rsidR="007F7CC6" w:rsidRPr="00FB3143">
        <w:rPr>
          <w:sz w:val="24"/>
          <w:szCs w:val="24"/>
        </w:rPr>
        <w:t>I</w:t>
      </w:r>
      <w:r w:rsidRPr="00FB3143">
        <w:rPr>
          <w:sz w:val="24"/>
          <w:szCs w:val="24"/>
        </w:rPr>
        <w:t>l documento affronta anche la tematica dell’obbligatorietà del deposito</w:t>
      </w:r>
      <w:r w:rsidRPr="00FB3143">
        <w:rPr>
          <w:sz w:val="24"/>
          <w:szCs w:val="24"/>
          <w:vertAlign w:val="superscript"/>
        </w:rPr>
        <w:footnoteReference w:id="28"/>
      </w:r>
      <w:r w:rsidRPr="00FB3143">
        <w:rPr>
          <w:sz w:val="24"/>
          <w:szCs w:val="24"/>
        </w:rPr>
        <w:t xml:space="preserve">, raccomandando l’introduzione di forme di incentivazione e di sensibilizzazione sulle opportunità ed i vantaggi di un’aumentata visibilità; a queste indicazioni seguiranno nel 2012 le più tecniche </w:t>
      </w:r>
      <w:r w:rsidRPr="00FB3143">
        <w:rPr>
          <w:i/>
          <w:sz w:val="24"/>
          <w:szCs w:val="24"/>
        </w:rPr>
        <w:t xml:space="preserve">Linee guida per la creazione e la gestione di metadati nei </w:t>
      </w:r>
      <w:proofErr w:type="spellStart"/>
      <w:r w:rsidRPr="00FB3143">
        <w:rPr>
          <w:i/>
          <w:sz w:val="24"/>
          <w:szCs w:val="24"/>
        </w:rPr>
        <w:t>repository</w:t>
      </w:r>
      <w:proofErr w:type="spellEnd"/>
      <w:r w:rsidRPr="00FB3143">
        <w:rPr>
          <w:i/>
          <w:sz w:val="24"/>
          <w:szCs w:val="24"/>
        </w:rPr>
        <w:t xml:space="preserve"> istituzionali</w:t>
      </w:r>
      <w:r w:rsidRPr="00FB3143">
        <w:rPr>
          <w:sz w:val="24"/>
          <w:szCs w:val="24"/>
        </w:rPr>
        <w:t xml:space="preserve"> (2012)</w:t>
      </w:r>
      <w:r w:rsidRPr="00FB3143">
        <w:rPr>
          <w:sz w:val="24"/>
          <w:szCs w:val="24"/>
          <w:vertAlign w:val="superscript"/>
        </w:rPr>
        <w:footnoteReference w:id="29"/>
      </w:r>
      <w:r w:rsidRPr="00FB3143">
        <w:rPr>
          <w:sz w:val="24"/>
          <w:szCs w:val="24"/>
        </w:rPr>
        <w:t xml:space="preserve"> con buone pratiche e suggerimenti per la creazione di uno schema di metadati il più possibile interoperabile nell’ambito della gestione dei </w:t>
      </w:r>
      <w:proofErr w:type="spellStart"/>
      <w:r w:rsidRPr="00FB3143">
        <w:rPr>
          <w:i/>
          <w:sz w:val="24"/>
          <w:szCs w:val="24"/>
        </w:rPr>
        <w:t>repositories</w:t>
      </w:r>
      <w:proofErr w:type="spellEnd"/>
      <w:r w:rsidRPr="00FB3143">
        <w:rPr>
          <w:i/>
          <w:sz w:val="24"/>
          <w:szCs w:val="24"/>
        </w:rPr>
        <w:t xml:space="preserve"> </w:t>
      </w:r>
      <w:r w:rsidRPr="00FB3143">
        <w:rPr>
          <w:sz w:val="24"/>
          <w:szCs w:val="24"/>
        </w:rPr>
        <w:t>istituzionali.</w:t>
      </w:r>
    </w:p>
    <w:p w14:paraId="5F515EF9" w14:textId="72451878" w:rsidR="007519C3" w:rsidRPr="00FB3143" w:rsidRDefault="007519C3" w:rsidP="007519C3">
      <w:pPr>
        <w:numPr>
          <w:ilvl w:val="0"/>
          <w:numId w:val="25"/>
        </w:numPr>
        <w:spacing w:after="0" w:line="240" w:lineRule="auto"/>
        <w:jc w:val="both"/>
        <w:rPr>
          <w:sz w:val="24"/>
          <w:szCs w:val="24"/>
        </w:rPr>
      </w:pPr>
      <w:r w:rsidRPr="00FB3143">
        <w:rPr>
          <w:i/>
          <w:sz w:val="24"/>
          <w:szCs w:val="24"/>
        </w:rPr>
        <w:t>L’Open Access e la valutazione dei prodotti della ricerca scientifica – Raccomandazioni</w:t>
      </w:r>
      <w:r w:rsidRPr="00FB3143">
        <w:rPr>
          <w:sz w:val="24"/>
          <w:szCs w:val="24"/>
        </w:rPr>
        <w:t xml:space="preserve"> (2009)</w:t>
      </w:r>
      <w:r w:rsidRPr="00FB3143">
        <w:rPr>
          <w:sz w:val="24"/>
          <w:szCs w:val="24"/>
          <w:vertAlign w:val="superscript"/>
        </w:rPr>
        <w:footnoteReference w:id="30"/>
      </w:r>
      <w:r w:rsidRPr="00FB3143">
        <w:rPr>
          <w:sz w:val="24"/>
          <w:szCs w:val="24"/>
        </w:rPr>
        <w:t xml:space="preserve"> che individuano nell’archivio istituzionale ad accesso aperto compatibile con il protocollo OAI-PMH (Open Archives </w:t>
      </w:r>
      <w:proofErr w:type="spellStart"/>
      <w:r w:rsidRPr="00FB3143">
        <w:rPr>
          <w:sz w:val="24"/>
          <w:szCs w:val="24"/>
        </w:rPr>
        <w:t>Initiative</w:t>
      </w:r>
      <w:proofErr w:type="spellEnd"/>
      <w:r w:rsidRPr="00FB3143">
        <w:rPr>
          <w:sz w:val="24"/>
          <w:szCs w:val="24"/>
        </w:rPr>
        <w:t xml:space="preserve"> </w:t>
      </w:r>
      <w:proofErr w:type="spellStart"/>
      <w:r w:rsidRPr="00FB3143">
        <w:rPr>
          <w:sz w:val="24"/>
          <w:szCs w:val="24"/>
        </w:rPr>
        <w:t>Protocol</w:t>
      </w:r>
      <w:proofErr w:type="spellEnd"/>
      <w:r w:rsidRPr="00FB3143">
        <w:rPr>
          <w:sz w:val="24"/>
          <w:szCs w:val="24"/>
        </w:rPr>
        <w:t xml:space="preserve"> for </w:t>
      </w:r>
      <w:proofErr w:type="spellStart"/>
      <w:r w:rsidRPr="00FB3143">
        <w:rPr>
          <w:sz w:val="24"/>
          <w:szCs w:val="24"/>
        </w:rPr>
        <w:t>Metadata</w:t>
      </w:r>
      <w:proofErr w:type="spellEnd"/>
      <w:r w:rsidRPr="00FB3143">
        <w:rPr>
          <w:sz w:val="24"/>
          <w:szCs w:val="24"/>
        </w:rPr>
        <w:t xml:space="preserve"> </w:t>
      </w:r>
      <w:proofErr w:type="spellStart"/>
      <w:r w:rsidRPr="00FB3143">
        <w:rPr>
          <w:sz w:val="24"/>
          <w:szCs w:val="24"/>
        </w:rPr>
        <w:t>Harvesting</w:t>
      </w:r>
      <w:proofErr w:type="spellEnd"/>
      <w:r w:rsidRPr="00FB3143">
        <w:rPr>
          <w:sz w:val="24"/>
          <w:szCs w:val="24"/>
        </w:rPr>
        <w:t>) una componente strategica in grado di raccogliere, gestire ed elaborare le informazioni sulle attività di ricerca di un ateneo. Le Raccomandazioni propongono uno standard minimo per dati (documenti da associare) e metadati (la descrizione bibliografica) da inserire negli archivi istituzionali, dedicando particolare attenzione alla definizione e indicazione della versione depositata; si incoraggia infine l’associazione dell’anagrafe della ricerca con l’archivio istituzionale e la pratica di inserire sia le descrizioni bibliografiche che i documenti stessi, nel rispetto delle norme del copyright «in quanto è ormai dimostrato che depositare (questo è il termine tecnico) un documento negli archivi istituzionali aumenta significativamente l’impatto della pubblicazione, con conseguenze positive tanto per gli autori quanto per l’istituzione o le istituzioni che hanno finanziato la ricerca»</w:t>
      </w:r>
      <w:r w:rsidRPr="00FB3143">
        <w:rPr>
          <w:sz w:val="24"/>
          <w:szCs w:val="24"/>
          <w:vertAlign w:val="superscript"/>
        </w:rPr>
        <w:footnoteReference w:id="31"/>
      </w:r>
      <w:r w:rsidR="007F7CC6" w:rsidRPr="00FB3143">
        <w:rPr>
          <w:sz w:val="24"/>
          <w:szCs w:val="24"/>
        </w:rPr>
        <w:t>.</w:t>
      </w:r>
    </w:p>
    <w:p w14:paraId="4FB566C6" w14:textId="7852D0B5" w:rsidR="007519C3" w:rsidRPr="00FB3143" w:rsidRDefault="007519C3" w:rsidP="007519C3">
      <w:pPr>
        <w:numPr>
          <w:ilvl w:val="0"/>
          <w:numId w:val="24"/>
        </w:numPr>
        <w:spacing w:after="0" w:line="240" w:lineRule="auto"/>
        <w:jc w:val="both"/>
        <w:rPr>
          <w:sz w:val="24"/>
          <w:szCs w:val="24"/>
        </w:rPr>
      </w:pPr>
      <w:r w:rsidRPr="00FB3143">
        <w:rPr>
          <w:i/>
          <w:sz w:val="24"/>
          <w:szCs w:val="24"/>
        </w:rPr>
        <w:t>Riviste ad accesso aperto: linee guida</w:t>
      </w:r>
      <w:r w:rsidRPr="00FB3143">
        <w:rPr>
          <w:sz w:val="24"/>
          <w:szCs w:val="24"/>
        </w:rPr>
        <w:t xml:space="preserve"> (2009) </w:t>
      </w:r>
      <w:r w:rsidRPr="00FB3143">
        <w:rPr>
          <w:sz w:val="24"/>
          <w:szCs w:val="24"/>
          <w:vertAlign w:val="superscript"/>
        </w:rPr>
        <w:footnoteReference w:id="32"/>
      </w:r>
      <w:r w:rsidRPr="00FB3143">
        <w:rPr>
          <w:sz w:val="24"/>
          <w:szCs w:val="24"/>
        </w:rPr>
        <w:t xml:space="preserve"> in cui si incoraggia l’utilizzo di riviste elettroniche ad Accesso Aperto, soprattutto in alcuni ambiti disciplinari, come valido  strumento per favorire la disseminazione dei risu</w:t>
      </w:r>
      <w:r w:rsidR="007F7CC6" w:rsidRPr="00FB3143">
        <w:rPr>
          <w:sz w:val="24"/>
          <w:szCs w:val="24"/>
        </w:rPr>
        <w:t>ltati della ricerca scientifica.</w:t>
      </w:r>
    </w:p>
    <w:p w14:paraId="7D349E7B" w14:textId="426E3E4F" w:rsidR="007519C3" w:rsidRPr="00FB3143" w:rsidRDefault="007519C3" w:rsidP="007519C3">
      <w:pPr>
        <w:numPr>
          <w:ilvl w:val="0"/>
          <w:numId w:val="24"/>
        </w:numPr>
        <w:spacing w:after="0" w:line="240" w:lineRule="auto"/>
        <w:jc w:val="both"/>
        <w:rPr>
          <w:sz w:val="24"/>
          <w:szCs w:val="24"/>
        </w:rPr>
      </w:pPr>
      <w:r w:rsidRPr="00FB3143">
        <w:rPr>
          <w:i/>
          <w:sz w:val="24"/>
          <w:szCs w:val="24"/>
        </w:rPr>
        <w:t>Linee Guida per la redazione di policy e regolamenti universitari in materia di accesso aperto alle pubblicazioni e ai dati della ricerca</w:t>
      </w:r>
      <w:r w:rsidRPr="00FB3143">
        <w:rPr>
          <w:sz w:val="24"/>
          <w:szCs w:val="24"/>
        </w:rPr>
        <w:t xml:space="preserve"> (2013)</w:t>
      </w:r>
      <w:r w:rsidRPr="00FB3143">
        <w:rPr>
          <w:sz w:val="24"/>
          <w:szCs w:val="24"/>
          <w:vertAlign w:val="superscript"/>
        </w:rPr>
        <w:footnoteReference w:id="33"/>
      </w:r>
      <w:r w:rsidRPr="00FB3143">
        <w:rPr>
          <w:sz w:val="24"/>
          <w:szCs w:val="24"/>
        </w:rPr>
        <w:t xml:space="preserve"> che offrono alle università che intendano raccogliere la Raccomandazione della Commissione Europea sull’accesso all’informazione scientifica e sulla sua conservazione del luglio 2012 un modello normativo conforme e facilmente adattabile proprie peculiarità. A tale modello si sono ispirate tutte le policy successive degli atenei italiani.</w:t>
      </w:r>
    </w:p>
    <w:p w14:paraId="290E704C" w14:textId="37DD127E" w:rsidR="007F7CC6" w:rsidRPr="00FB3143" w:rsidRDefault="00FD4C0D" w:rsidP="00691583">
      <w:pPr>
        <w:spacing w:after="0" w:line="240" w:lineRule="auto"/>
        <w:ind w:firstLine="413"/>
        <w:jc w:val="both"/>
        <w:rPr>
          <w:rFonts w:eastAsia="Times New Roman" w:cs="Times New Roman"/>
          <w:sz w:val="24"/>
          <w:szCs w:val="24"/>
          <w:lang w:eastAsia="it-IT"/>
        </w:rPr>
      </w:pPr>
      <w:r w:rsidRPr="00FB3143">
        <w:rPr>
          <w:sz w:val="24"/>
          <w:szCs w:val="24"/>
        </w:rPr>
        <w:lastRenderedPageBreak/>
        <w:t xml:space="preserve">Una forte ulteriore spinta </w:t>
      </w:r>
      <w:r w:rsidR="007F7CC6" w:rsidRPr="00FB3143">
        <w:rPr>
          <w:sz w:val="24"/>
          <w:szCs w:val="24"/>
        </w:rPr>
        <w:t xml:space="preserve">verso l’OA a livello nazionale </w:t>
      </w:r>
      <w:r w:rsidRPr="00FB3143">
        <w:rPr>
          <w:sz w:val="24"/>
          <w:szCs w:val="24"/>
        </w:rPr>
        <w:t xml:space="preserve">è emersa </w:t>
      </w:r>
      <w:r w:rsidR="007F7CC6" w:rsidRPr="00FB3143">
        <w:rPr>
          <w:sz w:val="24"/>
          <w:szCs w:val="24"/>
        </w:rPr>
        <w:t xml:space="preserve">solo </w:t>
      </w:r>
      <w:r w:rsidRPr="00FB3143">
        <w:rPr>
          <w:sz w:val="24"/>
          <w:szCs w:val="24"/>
        </w:rPr>
        <w:t xml:space="preserve">di recente. </w:t>
      </w:r>
      <w:r w:rsidR="007F7CC6" w:rsidRPr="00FB3143">
        <w:rPr>
          <w:sz w:val="24"/>
          <w:szCs w:val="24"/>
        </w:rPr>
        <w:t>La Legge n.112 del 7/10/2013</w:t>
      </w:r>
      <w:r w:rsidR="007F7CC6" w:rsidRPr="00FB3143">
        <w:rPr>
          <w:rStyle w:val="Rimandonotaapidipagina"/>
          <w:sz w:val="24"/>
          <w:szCs w:val="24"/>
        </w:rPr>
        <w:footnoteReference w:id="34"/>
      </w:r>
      <w:r w:rsidR="007F7CC6" w:rsidRPr="00FB3143">
        <w:rPr>
          <w:sz w:val="24"/>
          <w:szCs w:val="24"/>
        </w:rPr>
        <w:t xml:space="preserve"> rappresenta </w:t>
      </w:r>
      <w:r w:rsidR="00691583" w:rsidRPr="00FB3143">
        <w:rPr>
          <w:sz w:val="24"/>
          <w:szCs w:val="24"/>
        </w:rPr>
        <w:t>il</w:t>
      </w:r>
      <w:r w:rsidR="007F7CC6" w:rsidRPr="00FB3143">
        <w:rPr>
          <w:sz w:val="24"/>
          <w:szCs w:val="24"/>
        </w:rPr>
        <w:t xml:space="preserve"> punto di partenza </w:t>
      </w:r>
      <w:r w:rsidR="00691583" w:rsidRPr="00FB3143">
        <w:rPr>
          <w:sz w:val="24"/>
          <w:szCs w:val="24"/>
        </w:rPr>
        <w:t xml:space="preserve">normativo </w:t>
      </w:r>
      <w:r w:rsidR="007F7CC6" w:rsidRPr="00FB3143">
        <w:rPr>
          <w:sz w:val="24"/>
          <w:szCs w:val="24"/>
        </w:rPr>
        <w:t xml:space="preserve">per l’OA </w:t>
      </w:r>
      <w:r w:rsidR="00691583" w:rsidRPr="00FB3143">
        <w:rPr>
          <w:sz w:val="24"/>
          <w:szCs w:val="24"/>
        </w:rPr>
        <w:t xml:space="preserve">in Italia </w:t>
      </w:r>
      <w:r w:rsidR="007F7CC6" w:rsidRPr="00FB3143">
        <w:rPr>
          <w:sz w:val="24"/>
          <w:szCs w:val="24"/>
        </w:rPr>
        <w:t xml:space="preserve">poiché dispone che le università «…adottino le misure necessarie per la promozione dell'accesso aperto ai risultati della ricerca finanziata per una quota pari o superiore al 50 per cento con fondi pubblici, quando documentati in articoli pubblicati su periodici a carattere scientifico che abbiano almeno due uscite annue». </w:t>
      </w:r>
      <w:r w:rsidR="00691583" w:rsidRPr="00FB3143">
        <w:rPr>
          <w:sz w:val="24"/>
          <w:szCs w:val="24"/>
        </w:rPr>
        <w:t>Successivamente, n</w:t>
      </w:r>
      <w:r w:rsidR="007F7CC6" w:rsidRPr="00FB3143">
        <w:rPr>
          <w:sz w:val="24"/>
          <w:szCs w:val="24"/>
        </w:rPr>
        <w:t>el decreto direttoriale n. 197/2014 del MIUR relativo al programma SIR (</w:t>
      </w:r>
      <w:proofErr w:type="spellStart"/>
      <w:r w:rsidR="007F7CC6" w:rsidRPr="00FB3143">
        <w:rPr>
          <w:sz w:val="24"/>
          <w:szCs w:val="24"/>
        </w:rPr>
        <w:t>Scientific</w:t>
      </w:r>
      <w:proofErr w:type="spellEnd"/>
      <w:r w:rsidR="007F7CC6" w:rsidRPr="00FB3143">
        <w:rPr>
          <w:sz w:val="24"/>
          <w:szCs w:val="24"/>
        </w:rPr>
        <w:t xml:space="preserve"> Independence of </w:t>
      </w:r>
      <w:proofErr w:type="spellStart"/>
      <w:r w:rsidR="007F7CC6" w:rsidRPr="00FB3143">
        <w:rPr>
          <w:sz w:val="24"/>
          <w:szCs w:val="24"/>
        </w:rPr>
        <w:t>young</w:t>
      </w:r>
      <w:proofErr w:type="spellEnd"/>
      <w:r w:rsidR="007F7CC6" w:rsidRPr="00FB3143">
        <w:rPr>
          <w:sz w:val="24"/>
          <w:szCs w:val="24"/>
        </w:rPr>
        <w:t xml:space="preserve"> </w:t>
      </w:r>
      <w:proofErr w:type="spellStart"/>
      <w:r w:rsidR="007F7CC6" w:rsidRPr="00FB3143">
        <w:rPr>
          <w:sz w:val="24"/>
          <w:szCs w:val="24"/>
        </w:rPr>
        <w:t>Researchers</w:t>
      </w:r>
      <w:proofErr w:type="spellEnd"/>
      <w:r w:rsidR="007F7CC6" w:rsidRPr="00FB3143">
        <w:rPr>
          <w:sz w:val="24"/>
          <w:szCs w:val="24"/>
        </w:rPr>
        <w:t>)</w:t>
      </w:r>
      <w:r w:rsidR="007F7CC6" w:rsidRPr="00FB3143">
        <w:rPr>
          <w:rStyle w:val="Rimandonotaapidipagina"/>
          <w:sz w:val="24"/>
          <w:szCs w:val="24"/>
        </w:rPr>
        <w:footnoteReference w:id="35"/>
      </w:r>
      <w:r w:rsidR="007F7CC6" w:rsidRPr="00FB3143">
        <w:rPr>
          <w:sz w:val="24"/>
          <w:szCs w:val="24"/>
        </w:rPr>
        <w:t xml:space="preserve"> si prevede nell’articolo 9 - Open Access una clausola sull’obbligatorietà del deposito da parte di </w:t>
      </w:r>
      <w:proofErr w:type="spellStart"/>
      <w:r w:rsidR="007F7CC6" w:rsidRPr="00FB3143">
        <w:rPr>
          <w:sz w:val="24"/>
          <w:szCs w:val="24"/>
        </w:rPr>
        <w:t>Principal</w:t>
      </w:r>
      <w:proofErr w:type="spellEnd"/>
      <w:r w:rsidR="007F7CC6" w:rsidRPr="00FB3143">
        <w:rPr>
          <w:sz w:val="24"/>
          <w:szCs w:val="24"/>
        </w:rPr>
        <w:t xml:space="preserve"> Investigator (PI, coordinatori scientifici) delle copie digitali di prodotti della ricerca in un apposito </w:t>
      </w:r>
      <w:proofErr w:type="spellStart"/>
      <w:r w:rsidR="007F7CC6" w:rsidRPr="00FB3143">
        <w:rPr>
          <w:i/>
          <w:sz w:val="24"/>
          <w:szCs w:val="24"/>
        </w:rPr>
        <w:t>repository</w:t>
      </w:r>
      <w:proofErr w:type="spellEnd"/>
      <w:r w:rsidR="007F7CC6" w:rsidRPr="00FB3143">
        <w:rPr>
          <w:sz w:val="24"/>
          <w:szCs w:val="24"/>
        </w:rPr>
        <w:t xml:space="preserve"> per le pubblicazioni scientifiche, garantendo così l'accesso aperto alla risorsa bibliografica depositata e ai relativi dati della ricerca.</w:t>
      </w:r>
    </w:p>
    <w:p w14:paraId="4A6BA27A" w14:textId="19E61540" w:rsidR="00FD4C0D" w:rsidRPr="00FB3143" w:rsidRDefault="00691583" w:rsidP="00FD4C0D">
      <w:pPr>
        <w:spacing w:after="0" w:line="240" w:lineRule="auto"/>
        <w:ind w:firstLine="284"/>
        <w:jc w:val="both"/>
        <w:rPr>
          <w:rFonts w:eastAsia="Times New Roman"/>
          <w:sz w:val="24"/>
          <w:szCs w:val="24"/>
          <w:lang w:eastAsia="it-IT"/>
        </w:rPr>
      </w:pPr>
      <w:r w:rsidRPr="00FB3143">
        <w:rPr>
          <w:sz w:val="24"/>
          <w:szCs w:val="24"/>
        </w:rPr>
        <w:t>Infine, l</w:t>
      </w:r>
      <w:r w:rsidR="00FD4C0D" w:rsidRPr="00FB3143">
        <w:rPr>
          <w:sz w:val="24"/>
          <w:szCs w:val="24"/>
        </w:rPr>
        <w:t xml:space="preserve">’allineamento all’obbligo richiesto dalla Comunità Europea diventa </w:t>
      </w:r>
      <w:r w:rsidRPr="00FB3143">
        <w:rPr>
          <w:sz w:val="24"/>
          <w:szCs w:val="24"/>
        </w:rPr>
        <w:t xml:space="preserve">ancor più </w:t>
      </w:r>
      <w:r w:rsidR="00FD4C0D" w:rsidRPr="00FB3143">
        <w:rPr>
          <w:sz w:val="24"/>
          <w:szCs w:val="24"/>
        </w:rPr>
        <w:t xml:space="preserve">evidente nel bando PRIN2017 che recita all’Articolo 7 – Open </w:t>
      </w:r>
      <w:proofErr w:type="spellStart"/>
      <w:r w:rsidR="00FD4C0D" w:rsidRPr="00FB3143">
        <w:rPr>
          <w:sz w:val="24"/>
          <w:szCs w:val="24"/>
        </w:rPr>
        <w:t>access</w:t>
      </w:r>
      <w:proofErr w:type="spellEnd"/>
      <w:r w:rsidR="00FD4C0D" w:rsidRPr="00FB3143">
        <w:rPr>
          <w:sz w:val="24"/>
          <w:szCs w:val="24"/>
        </w:rPr>
        <w:t xml:space="preserve"> – comma 1</w:t>
      </w:r>
      <w:r w:rsidR="00FD4C0D" w:rsidRPr="00FB3143">
        <w:rPr>
          <w:rFonts w:eastAsia="Times New Roman"/>
          <w:sz w:val="24"/>
          <w:szCs w:val="24"/>
          <w:lang w:eastAsia="it-IT"/>
        </w:rPr>
        <w:t xml:space="preserve"> </w:t>
      </w:r>
      <w:r w:rsidR="00FD4C0D" w:rsidRPr="00FB3143">
        <w:rPr>
          <w:sz w:val="24"/>
          <w:szCs w:val="24"/>
        </w:rPr>
        <w:t>«</w:t>
      </w:r>
      <w:r w:rsidR="00FD4C0D" w:rsidRPr="00FB3143">
        <w:rPr>
          <w:rFonts w:eastAsia="Times New Roman"/>
          <w:sz w:val="24"/>
          <w:szCs w:val="24"/>
          <w:lang w:eastAsia="it-IT"/>
        </w:rPr>
        <w:t xml:space="preserve">Ciascun responsabile di unità garantisce l'accesso gratuito e on-line (almeno in modalità </w:t>
      </w:r>
      <w:r w:rsidR="00FD4C0D" w:rsidRPr="00FB3143">
        <w:rPr>
          <w:rFonts w:eastAsia="Times New Roman"/>
          <w:i/>
          <w:iCs/>
          <w:sz w:val="24"/>
          <w:szCs w:val="24"/>
          <w:lang w:eastAsia="it-IT"/>
        </w:rPr>
        <w:t xml:space="preserve">green </w:t>
      </w:r>
      <w:proofErr w:type="spellStart"/>
      <w:r w:rsidR="00FD4C0D" w:rsidRPr="00FB3143">
        <w:rPr>
          <w:rFonts w:eastAsia="Times New Roman"/>
          <w:i/>
          <w:iCs/>
          <w:sz w:val="24"/>
          <w:szCs w:val="24"/>
          <w:lang w:eastAsia="it-IT"/>
        </w:rPr>
        <w:t>access</w:t>
      </w:r>
      <w:proofErr w:type="spellEnd"/>
      <w:r w:rsidR="00FD4C0D" w:rsidRPr="00FB3143">
        <w:rPr>
          <w:rFonts w:eastAsia="Times New Roman"/>
          <w:sz w:val="24"/>
          <w:szCs w:val="24"/>
          <w:lang w:eastAsia="it-IT"/>
        </w:rPr>
        <w:t xml:space="preserve">) ai risultati ottenuti e ai contenuti delle ricerche oggetto di pubblicazioni scientifiche </w:t>
      </w:r>
      <w:r w:rsidR="00FD4C0D" w:rsidRPr="00FB3143">
        <w:rPr>
          <w:rFonts w:eastAsia="Times New Roman"/>
          <w:i/>
          <w:iCs/>
          <w:sz w:val="24"/>
          <w:szCs w:val="24"/>
          <w:lang w:eastAsia="it-IT"/>
        </w:rPr>
        <w:t>'</w:t>
      </w:r>
      <w:proofErr w:type="spellStart"/>
      <w:r w:rsidR="00FD4C0D" w:rsidRPr="00FB3143">
        <w:rPr>
          <w:rFonts w:eastAsia="Times New Roman"/>
          <w:i/>
          <w:iCs/>
          <w:sz w:val="24"/>
          <w:szCs w:val="24"/>
          <w:lang w:eastAsia="it-IT"/>
        </w:rPr>
        <w:t>peer</w:t>
      </w:r>
      <w:proofErr w:type="spellEnd"/>
      <w:r w:rsidR="00312A5D" w:rsidRPr="00FB3143">
        <w:rPr>
          <w:rFonts w:eastAsia="Times New Roman"/>
          <w:i/>
          <w:iCs/>
          <w:sz w:val="24"/>
          <w:szCs w:val="24"/>
          <w:lang w:eastAsia="it-IT"/>
        </w:rPr>
        <w:t xml:space="preserve"> </w:t>
      </w:r>
      <w:proofErr w:type="spellStart"/>
      <w:r w:rsidR="00FD4C0D" w:rsidRPr="00FB3143">
        <w:rPr>
          <w:rFonts w:eastAsia="Times New Roman"/>
          <w:i/>
          <w:iCs/>
          <w:sz w:val="24"/>
          <w:szCs w:val="24"/>
          <w:lang w:eastAsia="it-IT"/>
        </w:rPr>
        <w:t>reviewed</w:t>
      </w:r>
      <w:proofErr w:type="spellEnd"/>
      <w:r w:rsidR="00FD4C0D" w:rsidRPr="00FB3143">
        <w:rPr>
          <w:rFonts w:eastAsia="Times New Roman"/>
          <w:i/>
          <w:iCs/>
          <w:sz w:val="24"/>
          <w:szCs w:val="24"/>
          <w:lang w:eastAsia="it-IT"/>
        </w:rPr>
        <w:t>'</w:t>
      </w:r>
      <w:r w:rsidR="00FD4C0D" w:rsidRPr="00FB3143">
        <w:rPr>
          <w:rFonts w:eastAsia="Times New Roman"/>
          <w:sz w:val="24"/>
          <w:szCs w:val="24"/>
          <w:lang w:eastAsia="it-IT"/>
        </w:rPr>
        <w:t xml:space="preserve"> nell'ambito del progetto, secondo quanto previsto dall’art.4, commi 2 e 2 bis, del decreto legge 8 agosto 2013, n.91, convertito con modificazioni dalla legge 7 ottobre 2013, n.112.</w:t>
      </w:r>
      <w:r w:rsidR="00FD4C0D" w:rsidRPr="00FB3143">
        <w:rPr>
          <w:sz w:val="24"/>
          <w:szCs w:val="24"/>
        </w:rPr>
        <w:t>».</w:t>
      </w:r>
      <w:r w:rsidR="00FD4C0D" w:rsidRPr="00FB3143">
        <w:rPr>
          <w:rStyle w:val="Rimandonotaapidipagina"/>
          <w:rFonts w:eastAsia="Times New Roman"/>
          <w:sz w:val="24"/>
          <w:szCs w:val="24"/>
          <w:lang w:eastAsia="it-IT"/>
        </w:rPr>
        <w:footnoteReference w:id="36"/>
      </w:r>
      <w:r w:rsidR="00FD4C0D" w:rsidRPr="00FB3143">
        <w:rPr>
          <w:rFonts w:eastAsia="Times New Roman"/>
          <w:sz w:val="24"/>
          <w:szCs w:val="24"/>
          <w:lang w:eastAsia="it-IT"/>
        </w:rPr>
        <w:t xml:space="preserve"> Tale obbligo può essere assolto prevedendo fin dal momento della progettazione, in fase di richiesta del finanziamento, l’accantonamento di fondi per pubblicare in OA (ad esempio per pagare le APC).</w:t>
      </w:r>
    </w:p>
    <w:p w14:paraId="55CCF69C" w14:textId="162850C6" w:rsidR="00026053" w:rsidRDefault="00026053" w:rsidP="00FD4C0D">
      <w:pPr>
        <w:spacing w:after="0" w:line="240" w:lineRule="auto"/>
        <w:contextualSpacing/>
        <w:jc w:val="both"/>
        <w:rPr>
          <w:rFonts w:cs="Times New Roman"/>
          <w:sz w:val="24"/>
          <w:szCs w:val="24"/>
          <w:lang w:eastAsia="it-IT"/>
        </w:rPr>
      </w:pPr>
      <w:r w:rsidRPr="00FB3143">
        <w:rPr>
          <w:rFonts w:cs="Times New Roman"/>
          <w:sz w:val="24"/>
          <w:szCs w:val="24"/>
          <w:lang w:eastAsia="it-IT"/>
        </w:rPr>
        <w:t xml:space="preserve"> </w:t>
      </w:r>
    </w:p>
    <w:p w14:paraId="23AF849D" w14:textId="77777777" w:rsidR="00ED3184" w:rsidRPr="00FB3143" w:rsidRDefault="00ED3184" w:rsidP="00FD4C0D">
      <w:pPr>
        <w:spacing w:after="0" w:line="240" w:lineRule="auto"/>
        <w:contextualSpacing/>
        <w:jc w:val="both"/>
        <w:rPr>
          <w:sz w:val="24"/>
          <w:szCs w:val="24"/>
        </w:rPr>
      </w:pPr>
    </w:p>
    <w:p w14:paraId="331DB103" w14:textId="77777777" w:rsidR="00203866" w:rsidRPr="00FB3143" w:rsidRDefault="001C59E3" w:rsidP="001C59E3">
      <w:pPr>
        <w:spacing w:line="240" w:lineRule="auto"/>
        <w:ind w:left="284"/>
        <w:rPr>
          <w:sz w:val="24"/>
          <w:szCs w:val="24"/>
        </w:rPr>
      </w:pPr>
      <w:r w:rsidRPr="00FB3143">
        <w:rPr>
          <w:sz w:val="24"/>
          <w:szCs w:val="24"/>
        </w:rPr>
        <w:t xml:space="preserve">4 </w:t>
      </w:r>
      <w:r w:rsidR="00203866" w:rsidRPr="00FB3143">
        <w:rPr>
          <w:i/>
          <w:sz w:val="24"/>
          <w:szCs w:val="24"/>
        </w:rPr>
        <w:t>O</w:t>
      </w:r>
      <w:r w:rsidR="00547EF1" w:rsidRPr="00FB3143">
        <w:rPr>
          <w:i/>
          <w:sz w:val="24"/>
          <w:szCs w:val="24"/>
        </w:rPr>
        <w:t xml:space="preserve">A e politiche attuative nelle </w:t>
      </w:r>
      <w:r w:rsidR="00F76143" w:rsidRPr="00FB3143">
        <w:rPr>
          <w:i/>
          <w:sz w:val="24"/>
          <w:szCs w:val="24"/>
        </w:rPr>
        <w:t>università</w:t>
      </w:r>
      <w:r w:rsidR="00203866" w:rsidRPr="00FB3143">
        <w:rPr>
          <w:i/>
          <w:sz w:val="24"/>
          <w:szCs w:val="24"/>
        </w:rPr>
        <w:t xml:space="preserve"> italiane. </w:t>
      </w:r>
      <w:r w:rsidR="008D2380" w:rsidRPr="00FB3143">
        <w:rPr>
          <w:i/>
          <w:sz w:val="24"/>
          <w:szCs w:val="24"/>
        </w:rPr>
        <w:t>Il terzo livello</w:t>
      </w:r>
      <w:r w:rsidR="00875503" w:rsidRPr="00FB3143">
        <w:rPr>
          <w:b/>
          <w:sz w:val="24"/>
          <w:szCs w:val="24"/>
        </w:rPr>
        <w:t xml:space="preserve"> </w:t>
      </w:r>
    </w:p>
    <w:p w14:paraId="151CA0FA" w14:textId="40BA3DE6" w:rsidR="00706C71" w:rsidRPr="00FB3143" w:rsidRDefault="00B20CB4" w:rsidP="00ED3184">
      <w:pPr>
        <w:spacing w:after="0" w:line="240" w:lineRule="auto"/>
        <w:ind w:firstLine="284"/>
        <w:jc w:val="both"/>
        <w:rPr>
          <w:sz w:val="24"/>
          <w:szCs w:val="24"/>
        </w:rPr>
      </w:pPr>
      <w:r w:rsidRPr="00FB3143">
        <w:rPr>
          <w:sz w:val="24"/>
          <w:szCs w:val="24"/>
        </w:rPr>
        <w:t xml:space="preserve">Per una mappatura delle politiche attuative dell’OA nelle </w:t>
      </w:r>
      <w:r w:rsidR="00F76143" w:rsidRPr="00FB3143">
        <w:rPr>
          <w:sz w:val="24"/>
          <w:szCs w:val="24"/>
        </w:rPr>
        <w:t>università</w:t>
      </w:r>
      <w:r w:rsidRPr="00FB3143">
        <w:rPr>
          <w:sz w:val="24"/>
          <w:szCs w:val="24"/>
        </w:rPr>
        <w:t xml:space="preserve"> italiane, strumento fondamentale è R</w:t>
      </w:r>
      <w:r w:rsidR="008A2E9A" w:rsidRPr="00FB3143">
        <w:rPr>
          <w:sz w:val="24"/>
          <w:szCs w:val="24"/>
        </w:rPr>
        <w:t>OA</w:t>
      </w:r>
      <w:r w:rsidRPr="00FB3143">
        <w:rPr>
          <w:sz w:val="24"/>
          <w:szCs w:val="24"/>
        </w:rPr>
        <w:t>RMAP (</w:t>
      </w:r>
      <w:proofErr w:type="spellStart"/>
      <w:r w:rsidRPr="00FB3143">
        <w:rPr>
          <w:sz w:val="24"/>
          <w:szCs w:val="24"/>
        </w:rPr>
        <w:t>Registry</w:t>
      </w:r>
      <w:proofErr w:type="spellEnd"/>
      <w:r w:rsidRPr="00FB3143">
        <w:rPr>
          <w:sz w:val="24"/>
          <w:szCs w:val="24"/>
        </w:rPr>
        <w:t xml:space="preserve"> of Open Access </w:t>
      </w:r>
      <w:proofErr w:type="spellStart"/>
      <w:r w:rsidRPr="00FB3143">
        <w:rPr>
          <w:sz w:val="24"/>
          <w:szCs w:val="24"/>
        </w:rPr>
        <w:t>Repository</w:t>
      </w:r>
      <w:proofErr w:type="spellEnd"/>
      <w:r w:rsidRPr="00FB3143">
        <w:rPr>
          <w:sz w:val="24"/>
          <w:szCs w:val="24"/>
        </w:rPr>
        <w:t xml:space="preserve"> </w:t>
      </w:r>
      <w:proofErr w:type="spellStart"/>
      <w:r w:rsidRPr="00FB3143">
        <w:rPr>
          <w:sz w:val="24"/>
          <w:szCs w:val="24"/>
        </w:rPr>
        <w:t>Mandates</w:t>
      </w:r>
      <w:proofErr w:type="spellEnd"/>
      <w:r w:rsidRPr="00FB3143">
        <w:rPr>
          <w:sz w:val="24"/>
          <w:szCs w:val="24"/>
        </w:rPr>
        <w:t xml:space="preserve"> and </w:t>
      </w:r>
      <w:proofErr w:type="spellStart"/>
      <w:r w:rsidRPr="00FB3143">
        <w:rPr>
          <w:sz w:val="24"/>
          <w:szCs w:val="24"/>
        </w:rPr>
        <w:t>Policies</w:t>
      </w:r>
      <w:proofErr w:type="spellEnd"/>
      <w:r w:rsidRPr="00FB3143">
        <w:rPr>
          <w:sz w:val="24"/>
          <w:szCs w:val="24"/>
        </w:rPr>
        <w:t>)</w:t>
      </w:r>
      <w:r w:rsidR="00D60B2B" w:rsidRPr="00FB3143">
        <w:rPr>
          <w:sz w:val="24"/>
          <w:szCs w:val="24"/>
        </w:rPr>
        <w:t xml:space="preserve">, </w:t>
      </w:r>
      <w:r w:rsidRPr="00FB3143">
        <w:rPr>
          <w:sz w:val="24"/>
          <w:szCs w:val="24"/>
        </w:rPr>
        <w:t>registro internazionale che</w:t>
      </w:r>
      <w:r w:rsidR="00C660B8" w:rsidRPr="00FB3143">
        <w:rPr>
          <w:sz w:val="24"/>
          <w:szCs w:val="24"/>
        </w:rPr>
        <w:t xml:space="preserve"> </w:t>
      </w:r>
      <w:r w:rsidRPr="00FB3143">
        <w:rPr>
          <w:sz w:val="24"/>
          <w:szCs w:val="24"/>
        </w:rPr>
        <w:t xml:space="preserve">monitora </w:t>
      </w:r>
      <w:r w:rsidR="00D27252" w:rsidRPr="00FB3143">
        <w:rPr>
          <w:sz w:val="24"/>
          <w:szCs w:val="24"/>
        </w:rPr>
        <w:t xml:space="preserve">lo sviluppo dell’open </w:t>
      </w:r>
      <w:proofErr w:type="spellStart"/>
      <w:r w:rsidR="00D27252" w:rsidRPr="00FB3143">
        <w:rPr>
          <w:sz w:val="24"/>
          <w:szCs w:val="24"/>
        </w:rPr>
        <w:t>access</w:t>
      </w:r>
      <w:proofErr w:type="spellEnd"/>
      <w:r w:rsidR="00AC787C" w:rsidRPr="00FB3143">
        <w:rPr>
          <w:sz w:val="24"/>
          <w:szCs w:val="24"/>
        </w:rPr>
        <w:t xml:space="preserve"> attraverso la raccolta </w:t>
      </w:r>
      <w:r w:rsidR="008D04E0" w:rsidRPr="00FB3143">
        <w:rPr>
          <w:sz w:val="24"/>
          <w:szCs w:val="24"/>
        </w:rPr>
        <w:t xml:space="preserve">di dati relativi ai </w:t>
      </w:r>
      <w:r w:rsidR="004432C5" w:rsidRPr="00FB3143">
        <w:rPr>
          <w:sz w:val="24"/>
          <w:szCs w:val="24"/>
        </w:rPr>
        <w:t xml:space="preserve">regolamenti </w:t>
      </w:r>
      <w:r w:rsidR="006E7234" w:rsidRPr="00FB3143">
        <w:rPr>
          <w:sz w:val="24"/>
          <w:szCs w:val="24"/>
        </w:rPr>
        <w:t xml:space="preserve">ed </w:t>
      </w:r>
      <w:r w:rsidR="008D04E0" w:rsidRPr="00FB3143">
        <w:rPr>
          <w:sz w:val="24"/>
          <w:szCs w:val="24"/>
        </w:rPr>
        <w:t xml:space="preserve">alle </w:t>
      </w:r>
      <w:r w:rsidR="00AC787C" w:rsidRPr="00FB3143">
        <w:rPr>
          <w:sz w:val="24"/>
          <w:szCs w:val="24"/>
        </w:rPr>
        <w:t xml:space="preserve">policy </w:t>
      </w:r>
      <w:r w:rsidR="00C660B8" w:rsidRPr="00FB3143">
        <w:rPr>
          <w:sz w:val="24"/>
          <w:szCs w:val="24"/>
        </w:rPr>
        <w:t xml:space="preserve">per l’accesso aperto </w:t>
      </w:r>
      <w:r w:rsidRPr="00FB3143">
        <w:rPr>
          <w:sz w:val="24"/>
          <w:szCs w:val="24"/>
        </w:rPr>
        <w:t xml:space="preserve">adottati da </w:t>
      </w:r>
      <w:r w:rsidR="00F76143" w:rsidRPr="00FB3143">
        <w:rPr>
          <w:sz w:val="24"/>
          <w:szCs w:val="24"/>
        </w:rPr>
        <w:t>università</w:t>
      </w:r>
      <w:r w:rsidRPr="00FB3143">
        <w:rPr>
          <w:sz w:val="24"/>
          <w:szCs w:val="24"/>
        </w:rPr>
        <w:t xml:space="preserve">, </w:t>
      </w:r>
      <w:r w:rsidR="00C660B8" w:rsidRPr="00FB3143">
        <w:rPr>
          <w:sz w:val="24"/>
          <w:szCs w:val="24"/>
        </w:rPr>
        <w:t xml:space="preserve">da </w:t>
      </w:r>
      <w:r w:rsidRPr="00FB3143">
        <w:rPr>
          <w:sz w:val="24"/>
          <w:szCs w:val="24"/>
        </w:rPr>
        <w:t xml:space="preserve">istituti di ricerca e </w:t>
      </w:r>
      <w:r w:rsidR="00C660B8" w:rsidRPr="00FB3143">
        <w:rPr>
          <w:sz w:val="24"/>
          <w:szCs w:val="24"/>
        </w:rPr>
        <w:t xml:space="preserve">da enti </w:t>
      </w:r>
      <w:r w:rsidRPr="00FB3143">
        <w:rPr>
          <w:sz w:val="24"/>
          <w:szCs w:val="24"/>
        </w:rPr>
        <w:t>finanziatori d</w:t>
      </w:r>
      <w:r w:rsidR="00C660B8" w:rsidRPr="00FB3143">
        <w:rPr>
          <w:sz w:val="24"/>
          <w:szCs w:val="24"/>
        </w:rPr>
        <w:t xml:space="preserve">ella </w:t>
      </w:r>
      <w:r w:rsidRPr="00FB3143">
        <w:rPr>
          <w:sz w:val="24"/>
          <w:szCs w:val="24"/>
        </w:rPr>
        <w:t xml:space="preserve"> ricerca</w:t>
      </w:r>
      <w:r w:rsidR="00827B65" w:rsidRPr="00FB3143">
        <w:rPr>
          <w:sz w:val="24"/>
          <w:szCs w:val="24"/>
        </w:rPr>
        <w:t xml:space="preserve">; istituzioni che </w:t>
      </w:r>
      <w:r w:rsidRPr="00FB3143">
        <w:rPr>
          <w:sz w:val="24"/>
          <w:szCs w:val="24"/>
        </w:rPr>
        <w:t>richiedono ai ricercatori</w:t>
      </w:r>
      <w:r w:rsidR="00827B65" w:rsidRPr="00FB3143">
        <w:rPr>
          <w:sz w:val="24"/>
          <w:szCs w:val="24"/>
        </w:rPr>
        <w:t xml:space="preserve">, beneficiari del finanziamento, </w:t>
      </w:r>
      <w:r w:rsidRPr="00FB3143">
        <w:rPr>
          <w:sz w:val="24"/>
          <w:szCs w:val="24"/>
        </w:rPr>
        <w:t xml:space="preserve">di fornire un accesso aperto ai </w:t>
      </w:r>
      <w:proofErr w:type="spellStart"/>
      <w:r w:rsidRPr="00FB3143">
        <w:rPr>
          <w:i/>
          <w:sz w:val="24"/>
          <w:szCs w:val="24"/>
        </w:rPr>
        <w:t>peer</w:t>
      </w:r>
      <w:proofErr w:type="spellEnd"/>
      <w:r w:rsidR="00312A5D" w:rsidRPr="00FB3143">
        <w:rPr>
          <w:i/>
          <w:sz w:val="24"/>
          <w:szCs w:val="24"/>
        </w:rPr>
        <w:t xml:space="preserve"> </w:t>
      </w:r>
      <w:proofErr w:type="spellStart"/>
      <w:r w:rsidRPr="00FB3143">
        <w:rPr>
          <w:i/>
          <w:sz w:val="24"/>
          <w:szCs w:val="24"/>
        </w:rPr>
        <w:t>reviewed</w:t>
      </w:r>
      <w:proofErr w:type="spellEnd"/>
      <w:r w:rsidR="00827B65" w:rsidRPr="00FB3143">
        <w:rPr>
          <w:sz w:val="24"/>
          <w:szCs w:val="24"/>
        </w:rPr>
        <w:t xml:space="preserve">, depositando il contributo </w:t>
      </w:r>
      <w:r w:rsidRPr="00FB3143">
        <w:rPr>
          <w:sz w:val="24"/>
          <w:szCs w:val="24"/>
        </w:rPr>
        <w:t xml:space="preserve">in un </w:t>
      </w:r>
      <w:proofErr w:type="spellStart"/>
      <w:r w:rsidRPr="00FB3143">
        <w:rPr>
          <w:i/>
          <w:sz w:val="24"/>
          <w:szCs w:val="24"/>
        </w:rPr>
        <w:t>repository</w:t>
      </w:r>
      <w:proofErr w:type="spellEnd"/>
      <w:r w:rsidRPr="00FB3143">
        <w:rPr>
          <w:i/>
          <w:sz w:val="24"/>
          <w:szCs w:val="24"/>
        </w:rPr>
        <w:t xml:space="preserve"> </w:t>
      </w:r>
      <w:r w:rsidRPr="00FB3143">
        <w:rPr>
          <w:sz w:val="24"/>
          <w:szCs w:val="24"/>
        </w:rPr>
        <w:t>ad accesso aperto.</w:t>
      </w:r>
      <w:r w:rsidR="00827B65" w:rsidRPr="00FB3143">
        <w:rPr>
          <w:sz w:val="24"/>
          <w:szCs w:val="24"/>
        </w:rPr>
        <w:t xml:space="preserve"> D</w:t>
      </w:r>
      <w:r w:rsidR="00E750D3" w:rsidRPr="00FB3143">
        <w:rPr>
          <w:sz w:val="24"/>
          <w:szCs w:val="24"/>
        </w:rPr>
        <w:t xml:space="preserve">all’analisi dei dati presenti in </w:t>
      </w:r>
      <w:proofErr w:type="spellStart"/>
      <w:r w:rsidR="00E750D3" w:rsidRPr="00FB3143">
        <w:rPr>
          <w:sz w:val="24"/>
          <w:szCs w:val="24"/>
        </w:rPr>
        <w:t>Roarmap</w:t>
      </w:r>
      <w:proofErr w:type="spellEnd"/>
      <w:r w:rsidR="00E750D3" w:rsidRPr="00FB3143">
        <w:rPr>
          <w:sz w:val="24"/>
          <w:szCs w:val="24"/>
        </w:rPr>
        <w:t xml:space="preserve">, raccolti dal 2005 fino a tutto il 2017, risulta che in Europa si è verificata </w:t>
      </w:r>
      <w:r w:rsidR="00706C71" w:rsidRPr="00FB3143">
        <w:rPr>
          <w:sz w:val="24"/>
          <w:szCs w:val="24"/>
        </w:rPr>
        <w:t>una crescita esponenziale del numer</w:t>
      </w:r>
      <w:r w:rsidR="00547EF1" w:rsidRPr="00FB3143">
        <w:rPr>
          <w:sz w:val="24"/>
          <w:szCs w:val="24"/>
        </w:rPr>
        <w:t xml:space="preserve">o di </w:t>
      </w:r>
      <w:r w:rsidR="00F76143" w:rsidRPr="00FB3143">
        <w:rPr>
          <w:sz w:val="24"/>
          <w:szCs w:val="24"/>
        </w:rPr>
        <w:t>università</w:t>
      </w:r>
      <w:r w:rsidR="00706C71" w:rsidRPr="00FB3143">
        <w:rPr>
          <w:sz w:val="24"/>
          <w:szCs w:val="24"/>
        </w:rPr>
        <w:t xml:space="preserve">, </w:t>
      </w:r>
      <w:r w:rsidR="00DE566F" w:rsidRPr="00FB3143">
        <w:rPr>
          <w:sz w:val="24"/>
          <w:szCs w:val="24"/>
        </w:rPr>
        <w:t xml:space="preserve">di </w:t>
      </w:r>
      <w:r w:rsidR="002D2349" w:rsidRPr="00FB3143">
        <w:rPr>
          <w:sz w:val="24"/>
          <w:szCs w:val="24"/>
        </w:rPr>
        <w:t>d</w:t>
      </w:r>
      <w:r w:rsidR="00706C71" w:rsidRPr="00FB3143">
        <w:rPr>
          <w:sz w:val="24"/>
          <w:szCs w:val="24"/>
        </w:rPr>
        <w:t>ipartimenti e</w:t>
      </w:r>
      <w:r w:rsidR="00DE566F" w:rsidRPr="00FB3143">
        <w:rPr>
          <w:sz w:val="24"/>
          <w:szCs w:val="24"/>
        </w:rPr>
        <w:t xml:space="preserve"> di </w:t>
      </w:r>
      <w:r w:rsidR="00706C71" w:rsidRPr="00FB3143">
        <w:rPr>
          <w:sz w:val="24"/>
          <w:szCs w:val="24"/>
        </w:rPr>
        <w:t>enti di ricerca che hanno adottato una policy sull’OA</w:t>
      </w:r>
      <w:r w:rsidR="00DE566F" w:rsidRPr="00FB3143">
        <w:rPr>
          <w:sz w:val="24"/>
          <w:szCs w:val="24"/>
        </w:rPr>
        <w:t xml:space="preserve">, così </w:t>
      </w:r>
      <w:r w:rsidR="00706C71" w:rsidRPr="00FB3143">
        <w:rPr>
          <w:sz w:val="24"/>
          <w:szCs w:val="24"/>
        </w:rPr>
        <w:t xml:space="preserve">come evidenziato nel grafico </w:t>
      </w:r>
      <w:r w:rsidR="00A87516" w:rsidRPr="00FB3143">
        <w:rPr>
          <w:sz w:val="24"/>
          <w:szCs w:val="24"/>
        </w:rPr>
        <w:t>riportato in f</w:t>
      </w:r>
      <w:r w:rsidR="00706C71" w:rsidRPr="00FB3143">
        <w:rPr>
          <w:sz w:val="24"/>
          <w:szCs w:val="24"/>
        </w:rPr>
        <w:t>igura 1</w:t>
      </w:r>
      <w:r w:rsidR="00D27252" w:rsidRPr="00FB3143">
        <w:rPr>
          <w:sz w:val="24"/>
          <w:szCs w:val="24"/>
        </w:rPr>
        <w:t xml:space="preserve"> tratto dal sito </w:t>
      </w:r>
      <w:proofErr w:type="spellStart"/>
      <w:r w:rsidR="00D27252" w:rsidRPr="00FB3143">
        <w:rPr>
          <w:sz w:val="24"/>
          <w:szCs w:val="24"/>
        </w:rPr>
        <w:t>Roarmap</w:t>
      </w:r>
      <w:proofErr w:type="spellEnd"/>
      <w:r w:rsidR="00EE0F5C" w:rsidRPr="00FB3143">
        <w:rPr>
          <w:sz w:val="24"/>
          <w:szCs w:val="24"/>
        </w:rPr>
        <w:t>.</w:t>
      </w:r>
    </w:p>
    <w:p w14:paraId="065844FB" w14:textId="6CD2BEA3" w:rsidR="00706C71" w:rsidRPr="00FB3143" w:rsidRDefault="00E5314E" w:rsidP="00ED3184">
      <w:pPr>
        <w:spacing w:after="0" w:line="240" w:lineRule="auto"/>
        <w:ind w:left="568" w:hanging="284"/>
        <w:jc w:val="center"/>
        <w:rPr>
          <w:rFonts w:cs="Tahoma"/>
          <w:color w:val="333333"/>
          <w:sz w:val="24"/>
          <w:szCs w:val="24"/>
          <w:shd w:val="clear" w:color="auto" w:fill="FFFFFF"/>
        </w:rPr>
      </w:pPr>
      <w:r>
        <w:rPr>
          <w:rFonts w:cs="Tahoma"/>
          <w:color w:val="333333"/>
          <w:sz w:val="24"/>
          <w:szCs w:val="24"/>
          <w:shd w:val="clear" w:color="auto" w:fill="FFFFFF"/>
        </w:rPr>
        <w:t>[Fig. 1.]</w:t>
      </w:r>
    </w:p>
    <w:p w14:paraId="035B0078" w14:textId="520A9618" w:rsidR="00706C71" w:rsidRPr="00E5314E" w:rsidRDefault="005A4BBC" w:rsidP="00ED3184">
      <w:pPr>
        <w:spacing w:after="0" w:line="240" w:lineRule="auto"/>
        <w:ind w:left="568" w:hanging="284"/>
        <w:jc w:val="both"/>
      </w:pPr>
      <w:r w:rsidRPr="00E5314E">
        <w:t>Fig.</w:t>
      </w:r>
      <w:r w:rsidR="00706C71" w:rsidRPr="00E5314E">
        <w:t xml:space="preserve"> 1. Europa: numero </w:t>
      </w:r>
      <w:r w:rsidR="004F7FEF" w:rsidRPr="00E5314E">
        <w:t xml:space="preserve">di </w:t>
      </w:r>
      <w:r w:rsidR="00706C71" w:rsidRPr="00E5314E">
        <w:t xml:space="preserve">Istituzioni ed Enti che hanno regolamentato l’OA dal 2005 al 2017. </w:t>
      </w:r>
      <w:r w:rsidR="008F30D5">
        <w:t>(</w:t>
      </w:r>
      <w:r w:rsidR="00706C71" w:rsidRPr="00E5314E">
        <w:t xml:space="preserve">Fonte </w:t>
      </w:r>
      <w:proofErr w:type="spellStart"/>
      <w:r w:rsidR="00706C71" w:rsidRPr="00E5314E">
        <w:t>Roarmap</w:t>
      </w:r>
      <w:proofErr w:type="spellEnd"/>
      <w:r w:rsidR="008F30D5">
        <w:t>)</w:t>
      </w:r>
      <w:r w:rsidR="00706C71" w:rsidRPr="00E5314E">
        <w:t>.</w:t>
      </w:r>
    </w:p>
    <w:p w14:paraId="71BB1EDF" w14:textId="77777777" w:rsidR="00ED3184" w:rsidRDefault="00ED3184" w:rsidP="00ED3184">
      <w:pPr>
        <w:spacing w:after="0" w:line="240" w:lineRule="auto"/>
        <w:ind w:firstLine="284"/>
        <w:jc w:val="both"/>
        <w:rPr>
          <w:sz w:val="24"/>
          <w:szCs w:val="24"/>
        </w:rPr>
      </w:pPr>
    </w:p>
    <w:p w14:paraId="552DA04F" w14:textId="66554EC1" w:rsidR="00370114" w:rsidRPr="00FB3143" w:rsidRDefault="00BD7217" w:rsidP="00ED3184">
      <w:pPr>
        <w:spacing w:after="0" w:line="240" w:lineRule="auto"/>
        <w:ind w:firstLine="284"/>
        <w:jc w:val="both"/>
        <w:rPr>
          <w:sz w:val="24"/>
          <w:szCs w:val="24"/>
        </w:rPr>
      </w:pPr>
      <w:r w:rsidRPr="00FB3143">
        <w:rPr>
          <w:sz w:val="24"/>
          <w:szCs w:val="24"/>
        </w:rPr>
        <w:t>L’ingresso della comunità accademica italiana nel movimento europeo e internazionale sull’accesso aperto è segnato dalla Dichiarazione di Messina</w:t>
      </w:r>
      <w:r w:rsidR="00EC6544" w:rsidRPr="00FB3143">
        <w:rPr>
          <w:sz w:val="24"/>
          <w:szCs w:val="24"/>
        </w:rPr>
        <w:t xml:space="preserve"> del </w:t>
      </w:r>
      <w:r w:rsidR="006E7234" w:rsidRPr="00FB3143">
        <w:rPr>
          <w:sz w:val="24"/>
          <w:szCs w:val="24"/>
        </w:rPr>
        <w:t xml:space="preserve">4 novembre </w:t>
      </w:r>
      <w:r w:rsidRPr="00FB3143">
        <w:rPr>
          <w:sz w:val="24"/>
          <w:szCs w:val="24"/>
        </w:rPr>
        <w:t>2004</w:t>
      </w:r>
      <w:r w:rsidR="00EC6544" w:rsidRPr="00FB3143">
        <w:rPr>
          <w:sz w:val="24"/>
          <w:szCs w:val="24"/>
        </w:rPr>
        <w:t xml:space="preserve">, </w:t>
      </w:r>
      <w:r w:rsidR="00CE1C10" w:rsidRPr="00FB3143">
        <w:rPr>
          <w:sz w:val="24"/>
          <w:szCs w:val="24"/>
        </w:rPr>
        <w:t>documento italiano a sostegno</w:t>
      </w:r>
      <w:r w:rsidR="00ED3277" w:rsidRPr="00FB3143">
        <w:rPr>
          <w:sz w:val="24"/>
          <w:szCs w:val="24"/>
        </w:rPr>
        <w:t xml:space="preserve"> </w:t>
      </w:r>
      <w:proofErr w:type="gramStart"/>
      <w:r w:rsidR="00ED3277" w:rsidRPr="00FB3143">
        <w:rPr>
          <w:sz w:val="24"/>
          <w:szCs w:val="24"/>
        </w:rPr>
        <w:t xml:space="preserve">della </w:t>
      </w:r>
      <w:r w:rsidR="00CE1C10" w:rsidRPr="00FB3143">
        <w:rPr>
          <w:sz w:val="24"/>
          <w:szCs w:val="24"/>
        </w:rPr>
        <w:t xml:space="preserve"> </w:t>
      </w:r>
      <w:r w:rsidR="00ED3277" w:rsidRPr="00FB3143">
        <w:rPr>
          <w:sz w:val="24"/>
          <w:szCs w:val="24"/>
        </w:rPr>
        <w:t>Dichiarazione</w:t>
      </w:r>
      <w:proofErr w:type="gramEnd"/>
      <w:r w:rsidR="00ED3277" w:rsidRPr="00FB3143">
        <w:rPr>
          <w:sz w:val="24"/>
          <w:szCs w:val="24"/>
        </w:rPr>
        <w:t xml:space="preserve"> di Berlino sull’accesso aperto alla letteratura scientifica del 2003, presentato al </w:t>
      </w:r>
      <w:r w:rsidR="006E7234" w:rsidRPr="00FB3143">
        <w:rPr>
          <w:sz w:val="24"/>
          <w:szCs w:val="24"/>
        </w:rPr>
        <w:t>mondo accademico in</w:t>
      </w:r>
      <w:r w:rsidR="00715CD8" w:rsidRPr="00FB3143">
        <w:rPr>
          <w:sz w:val="24"/>
          <w:szCs w:val="24"/>
        </w:rPr>
        <w:t xml:space="preserve"> </w:t>
      </w:r>
      <w:r w:rsidR="006E7234" w:rsidRPr="00FB3143">
        <w:rPr>
          <w:sz w:val="24"/>
          <w:szCs w:val="24"/>
        </w:rPr>
        <w:t>occasione del workshop nazionale “</w:t>
      </w:r>
      <w:r w:rsidR="006E7234" w:rsidRPr="00FB3143">
        <w:rPr>
          <w:i/>
          <w:sz w:val="24"/>
          <w:szCs w:val="24"/>
        </w:rPr>
        <w:t>Gli atenei italiani per l’Open Access: verso l’accesso aperto alla letteratura di ricerca</w:t>
      </w:r>
      <w:r w:rsidR="006E7234" w:rsidRPr="00FB3143">
        <w:rPr>
          <w:sz w:val="24"/>
          <w:szCs w:val="24"/>
        </w:rPr>
        <w:t>”. Tale evento, voluto dalla Commissione CRUI per le Biblioteche di Ateneo, in collaborazione con l’</w:t>
      </w:r>
      <w:r w:rsidR="00F76143" w:rsidRPr="00FB3143">
        <w:rPr>
          <w:sz w:val="24"/>
          <w:szCs w:val="24"/>
        </w:rPr>
        <w:t>Università</w:t>
      </w:r>
      <w:r w:rsidR="006E7234" w:rsidRPr="00FB3143">
        <w:rPr>
          <w:sz w:val="24"/>
          <w:szCs w:val="24"/>
        </w:rPr>
        <w:t xml:space="preserve"> degli Studi di Messina, </w:t>
      </w:r>
      <w:r w:rsidR="00EC6544" w:rsidRPr="00FB3143">
        <w:rPr>
          <w:sz w:val="24"/>
          <w:szCs w:val="24"/>
        </w:rPr>
        <w:t xml:space="preserve">è nato dalla volontà di </w:t>
      </w:r>
      <w:r w:rsidR="006E7234" w:rsidRPr="00FB3143">
        <w:rPr>
          <w:sz w:val="24"/>
          <w:szCs w:val="24"/>
        </w:rPr>
        <w:t>promuovere la diffusione delle pubblicazioni O</w:t>
      </w:r>
      <w:r w:rsidR="00DE1873" w:rsidRPr="00FB3143">
        <w:rPr>
          <w:sz w:val="24"/>
          <w:szCs w:val="24"/>
        </w:rPr>
        <w:t xml:space="preserve">A </w:t>
      </w:r>
      <w:r w:rsidR="006E7234" w:rsidRPr="00FB3143">
        <w:rPr>
          <w:sz w:val="24"/>
          <w:szCs w:val="24"/>
        </w:rPr>
        <w:t xml:space="preserve">nel sistema </w:t>
      </w:r>
      <w:r w:rsidR="006E7234" w:rsidRPr="00FB3143">
        <w:rPr>
          <w:sz w:val="24"/>
          <w:szCs w:val="24"/>
        </w:rPr>
        <w:lastRenderedPageBreak/>
        <w:t xml:space="preserve">universitario italiano al fine di diffondere i benefici </w:t>
      </w:r>
      <w:r w:rsidR="002E2E7D" w:rsidRPr="00FB3143">
        <w:rPr>
          <w:sz w:val="24"/>
          <w:szCs w:val="24"/>
        </w:rPr>
        <w:t xml:space="preserve">derivanti </w:t>
      </w:r>
      <w:r w:rsidR="00CE1C10" w:rsidRPr="00FB3143">
        <w:rPr>
          <w:sz w:val="24"/>
          <w:szCs w:val="24"/>
        </w:rPr>
        <w:t xml:space="preserve">proprio </w:t>
      </w:r>
      <w:r w:rsidR="006E7234" w:rsidRPr="00FB3143">
        <w:rPr>
          <w:sz w:val="24"/>
          <w:szCs w:val="24"/>
        </w:rPr>
        <w:t>dal ricorso a forme di editoria elettronica ad accesso aperto</w:t>
      </w:r>
      <w:r w:rsidR="00EC6544" w:rsidRPr="00FB3143">
        <w:rPr>
          <w:sz w:val="24"/>
          <w:szCs w:val="24"/>
        </w:rPr>
        <w:t xml:space="preserve"> ed ha sancito</w:t>
      </w:r>
      <w:r w:rsidR="00CE1C10" w:rsidRPr="00FB3143">
        <w:rPr>
          <w:sz w:val="24"/>
          <w:szCs w:val="24"/>
        </w:rPr>
        <w:t>, in quell’occasione</w:t>
      </w:r>
      <w:r w:rsidR="00715CD8" w:rsidRPr="00FB3143">
        <w:rPr>
          <w:sz w:val="24"/>
          <w:szCs w:val="24"/>
        </w:rPr>
        <w:t xml:space="preserve">, </w:t>
      </w:r>
      <w:r w:rsidR="00EC6544" w:rsidRPr="00FB3143">
        <w:rPr>
          <w:sz w:val="24"/>
          <w:szCs w:val="24"/>
        </w:rPr>
        <w:t>l’adesione alla Dichiarazione di Berlino</w:t>
      </w:r>
      <w:r w:rsidR="00715CD8" w:rsidRPr="00FB3143">
        <w:rPr>
          <w:sz w:val="24"/>
          <w:szCs w:val="24"/>
        </w:rPr>
        <w:t xml:space="preserve"> </w:t>
      </w:r>
      <w:r w:rsidR="00EC6544" w:rsidRPr="00FB3143">
        <w:rPr>
          <w:sz w:val="24"/>
          <w:szCs w:val="24"/>
        </w:rPr>
        <w:t xml:space="preserve">di 31 </w:t>
      </w:r>
      <w:r w:rsidR="00935B3D" w:rsidRPr="00FB3143">
        <w:rPr>
          <w:sz w:val="24"/>
          <w:szCs w:val="24"/>
        </w:rPr>
        <w:t>u</w:t>
      </w:r>
      <w:r w:rsidR="00F76143" w:rsidRPr="00FB3143">
        <w:rPr>
          <w:sz w:val="24"/>
          <w:szCs w:val="24"/>
        </w:rPr>
        <w:t>niversità</w:t>
      </w:r>
      <w:r w:rsidR="00EC6544" w:rsidRPr="00FB3143">
        <w:rPr>
          <w:sz w:val="24"/>
          <w:szCs w:val="24"/>
        </w:rPr>
        <w:t xml:space="preserve"> italiane oltre </w:t>
      </w:r>
      <w:r w:rsidR="006E7234" w:rsidRPr="00FB3143">
        <w:rPr>
          <w:sz w:val="24"/>
          <w:szCs w:val="24"/>
        </w:rPr>
        <w:t>all’Istituto Italiano di Medicina Sociale di Roma.</w:t>
      </w:r>
      <w:r w:rsidR="002D4544" w:rsidRPr="00FB3143">
        <w:rPr>
          <w:sz w:val="24"/>
          <w:szCs w:val="24"/>
        </w:rPr>
        <w:t xml:space="preserve"> </w:t>
      </w:r>
      <w:r w:rsidR="00BD04E8" w:rsidRPr="00FB3143">
        <w:rPr>
          <w:sz w:val="24"/>
          <w:szCs w:val="24"/>
        </w:rPr>
        <w:t>L’auspicio che</w:t>
      </w:r>
      <w:r w:rsidR="008B766B" w:rsidRPr="00FB3143">
        <w:rPr>
          <w:sz w:val="24"/>
          <w:szCs w:val="24"/>
        </w:rPr>
        <w:t xml:space="preserve">, come si legge nel testo della Dichiarazione di Messina, </w:t>
      </w:r>
      <w:r w:rsidR="00BD04E8" w:rsidRPr="00FB3143">
        <w:rPr>
          <w:sz w:val="24"/>
          <w:szCs w:val="24"/>
        </w:rPr>
        <w:t xml:space="preserve">il gesto di adesione alla Dichiarazione di Berlino </w:t>
      </w:r>
      <w:r w:rsidR="00FE00A1" w:rsidRPr="00FB3143">
        <w:rPr>
          <w:sz w:val="24"/>
          <w:szCs w:val="24"/>
        </w:rPr>
        <w:t>«</w:t>
      </w:r>
      <w:r w:rsidR="008B766B" w:rsidRPr="00FB3143">
        <w:rPr>
          <w:sz w:val="24"/>
          <w:szCs w:val="24"/>
        </w:rPr>
        <w:t>…</w:t>
      </w:r>
      <w:r w:rsidR="00BD04E8" w:rsidRPr="00FB3143">
        <w:rPr>
          <w:sz w:val="24"/>
          <w:szCs w:val="24"/>
        </w:rPr>
        <w:t>costituisca un primo ed importante contributo dato dagli Atenei italiani ad una più ampia e rapida diffusione del sapere scientifico</w:t>
      </w:r>
      <w:r w:rsidR="00FE00A1" w:rsidRPr="00FB3143">
        <w:rPr>
          <w:sz w:val="24"/>
          <w:szCs w:val="24"/>
        </w:rPr>
        <w:t>»</w:t>
      </w:r>
      <w:r w:rsidR="00BD04E8" w:rsidRPr="00FB3143">
        <w:rPr>
          <w:sz w:val="24"/>
          <w:szCs w:val="24"/>
        </w:rPr>
        <w:t xml:space="preserve"> si </w:t>
      </w:r>
      <w:r w:rsidR="00A606E2" w:rsidRPr="00FB3143">
        <w:rPr>
          <w:sz w:val="24"/>
          <w:szCs w:val="24"/>
        </w:rPr>
        <w:t xml:space="preserve">realizza grazie al fatto che ad oggi tale dichiarazione </w:t>
      </w:r>
      <w:r w:rsidRPr="00FB3143">
        <w:rPr>
          <w:sz w:val="24"/>
          <w:szCs w:val="24"/>
        </w:rPr>
        <w:t xml:space="preserve">è stata sottoscritta da oltre 70 fra </w:t>
      </w:r>
      <w:r w:rsidR="00F76143" w:rsidRPr="00FB3143">
        <w:rPr>
          <w:sz w:val="24"/>
          <w:szCs w:val="24"/>
        </w:rPr>
        <w:t>università</w:t>
      </w:r>
      <w:r w:rsidR="00370114" w:rsidRPr="00FB3143">
        <w:rPr>
          <w:sz w:val="24"/>
          <w:szCs w:val="24"/>
        </w:rPr>
        <w:t xml:space="preserve"> ed enti di ricerca. </w:t>
      </w:r>
    </w:p>
    <w:p w14:paraId="526BD0B0" w14:textId="6E4F8918" w:rsidR="00934955" w:rsidRPr="00FB3143" w:rsidRDefault="00370114" w:rsidP="00370114">
      <w:pPr>
        <w:spacing w:after="0" w:line="240" w:lineRule="auto"/>
        <w:ind w:firstLine="284"/>
        <w:jc w:val="both"/>
        <w:rPr>
          <w:sz w:val="24"/>
          <w:szCs w:val="24"/>
        </w:rPr>
      </w:pPr>
      <w:r w:rsidRPr="00FB3143">
        <w:rPr>
          <w:sz w:val="24"/>
          <w:szCs w:val="24"/>
        </w:rPr>
        <w:t xml:space="preserve">La </w:t>
      </w:r>
      <w:r w:rsidR="00934955" w:rsidRPr="00FB3143">
        <w:rPr>
          <w:sz w:val="24"/>
          <w:szCs w:val="24"/>
        </w:rPr>
        <w:t>raccomandazione ad inserire il principio dell’accesso aperto nello statu</w:t>
      </w:r>
      <w:r w:rsidR="00A62CD0" w:rsidRPr="00FB3143">
        <w:rPr>
          <w:sz w:val="24"/>
          <w:szCs w:val="24"/>
        </w:rPr>
        <w:t>to è stata accolta, secondo le informazioni riportate nel sito AISA</w:t>
      </w:r>
      <w:r w:rsidR="00D23495" w:rsidRPr="00FB3143">
        <w:rPr>
          <w:sz w:val="24"/>
          <w:szCs w:val="24"/>
        </w:rPr>
        <w:t xml:space="preserve"> (</w:t>
      </w:r>
      <w:r w:rsidR="00873522" w:rsidRPr="00FB3143">
        <w:rPr>
          <w:sz w:val="24"/>
          <w:szCs w:val="24"/>
        </w:rPr>
        <w:t>Associazione I</w:t>
      </w:r>
      <w:r w:rsidR="00B7641B" w:rsidRPr="00FB3143">
        <w:rPr>
          <w:sz w:val="24"/>
          <w:szCs w:val="24"/>
        </w:rPr>
        <w:t>t</w:t>
      </w:r>
      <w:r w:rsidR="00873522" w:rsidRPr="00FB3143">
        <w:rPr>
          <w:sz w:val="24"/>
          <w:szCs w:val="24"/>
        </w:rPr>
        <w:t>aliana per la promozione della Scienza A</w:t>
      </w:r>
      <w:r w:rsidR="00B7641B" w:rsidRPr="00FB3143">
        <w:rPr>
          <w:sz w:val="24"/>
          <w:szCs w:val="24"/>
        </w:rPr>
        <w:t xml:space="preserve">perta), </w:t>
      </w:r>
      <w:r w:rsidR="00A62CD0" w:rsidRPr="00FB3143">
        <w:rPr>
          <w:sz w:val="24"/>
          <w:szCs w:val="24"/>
        </w:rPr>
        <w:t xml:space="preserve">da 36 </w:t>
      </w:r>
      <w:r w:rsidR="00926CB1" w:rsidRPr="00FB3143">
        <w:rPr>
          <w:sz w:val="24"/>
          <w:szCs w:val="24"/>
        </w:rPr>
        <w:t>u</w:t>
      </w:r>
      <w:r w:rsidR="00F76143" w:rsidRPr="00FB3143">
        <w:rPr>
          <w:sz w:val="24"/>
          <w:szCs w:val="24"/>
        </w:rPr>
        <w:t>niversità</w:t>
      </w:r>
      <w:r w:rsidR="00A62CD0" w:rsidRPr="00FB3143">
        <w:rPr>
          <w:sz w:val="24"/>
          <w:szCs w:val="24"/>
        </w:rPr>
        <w:t xml:space="preserve"> Italiane</w:t>
      </w:r>
      <w:r w:rsidR="00DF18A6" w:rsidRPr="00FB3143">
        <w:rPr>
          <w:sz w:val="24"/>
          <w:szCs w:val="24"/>
        </w:rPr>
        <w:t>, tra cui anche l’</w:t>
      </w:r>
      <w:r w:rsidR="00926CB1" w:rsidRPr="00FB3143">
        <w:rPr>
          <w:sz w:val="24"/>
          <w:szCs w:val="24"/>
        </w:rPr>
        <w:t>U</w:t>
      </w:r>
      <w:r w:rsidR="00F76143" w:rsidRPr="00FB3143">
        <w:rPr>
          <w:sz w:val="24"/>
          <w:szCs w:val="24"/>
        </w:rPr>
        <w:t>niversità</w:t>
      </w:r>
      <w:r w:rsidR="00DF18A6" w:rsidRPr="00FB3143">
        <w:rPr>
          <w:sz w:val="24"/>
          <w:szCs w:val="24"/>
        </w:rPr>
        <w:t xml:space="preserve"> degli Studi di Macerata che al punto 4 dell’art. 1 “Principi e fini di riferimento</w:t>
      </w:r>
      <w:r w:rsidR="00CD126D" w:rsidRPr="00FB3143">
        <w:rPr>
          <w:sz w:val="24"/>
          <w:szCs w:val="24"/>
        </w:rPr>
        <w:t>”</w:t>
      </w:r>
      <w:r w:rsidR="00DF18A6" w:rsidRPr="00FB3143">
        <w:rPr>
          <w:sz w:val="24"/>
          <w:szCs w:val="24"/>
        </w:rPr>
        <w:t xml:space="preserve"> del proprio Statuto, emanato nel 2012, </w:t>
      </w:r>
      <w:r w:rsidR="004A3892" w:rsidRPr="00FB3143">
        <w:rPr>
          <w:sz w:val="24"/>
          <w:szCs w:val="24"/>
        </w:rPr>
        <w:t>stabilisce che l’</w:t>
      </w:r>
      <w:r w:rsidR="00F76143" w:rsidRPr="00FB3143">
        <w:rPr>
          <w:sz w:val="24"/>
          <w:szCs w:val="24"/>
        </w:rPr>
        <w:t>Università</w:t>
      </w:r>
      <w:r w:rsidR="004A3892" w:rsidRPr="00FB3143">
        <w:rPr>
          <w:sz w:val="24"/>
          <w:szCs w:val="24"/>
        </w:rPr>
        <w:t xml:space="preserve"> </w:t>
      </w:r>
      <w:r w:rsidR="00FE00A1" w:rsidRPr="00FB3143">
        <w:rPr>
          <w:sz w:val="24"/>
          <w:szCs w:val="24"/>
        </w:rPr>
        <w:t>«</w:t>
      </w:r>
      <w:r w:rsidR="004A3892" w:rsidRPr="00FB3143">
        <w:rPr>
          <w:sz w:val="24"/>
          <w:szCs w:val="24"/>
        </w:rPr>
        <w:t>…</w:t>
      </w:r>
      <w:r w:rsidR="00DF18A6" w:rsidRPr="00FB3143">
        <w:rPr>
          <w:sz w:val="24"/>
          <w:szCs w:val="24"/>
        </w:rPr>
        <w:t>adotta i principi dell’accesso pieno e</w:t>
      </w:r>
      <w:r w:rsidR="004A3892" w:rsidRPr="00FB3143">
        <w:rPr>
          <w:sz w:val="24"/>
          <w:szCs w:val="24"/>
        </w:rPr>
        <w:t xml:space="preserve"> </w:t>
      </w:r>
      <w:r w:rsidR="00DF18A6" w:rsidRPr="00FB3143">
        <w:rPr>
          <w:sz w:val="24"/>
          <w:szCs w:val="24"/>
        </w:rPr>
        <w:t>aperto ai dati e ai prodotti della ricerca scientifica, assicurandone la conservazione</w:t>
      </w:r>
      <w:r w:rsidR="004A3892" w:rsidRPr="00FB3143">
        <w:rPr>
          <w:sz w:val="24"/>
          <w:szCs w:val="24"/>
        </w:rPr>
        <w:t xml:space="preserve"> </w:t>
      </w:r>
      <w:r w:rsidR="00DF18A6" w:rsidRPr="00FB3143">
        <w:rPr>
          <w:sz w:val="24"/>
          <w:szCs w:val="24"/>
        </w:rPr>
        <w:t>nell’archivio istituzionale e la comunicazione al pubblico, nel rispetto delle leggi</w:t>
      </w:r>
      <w:r w:rsidR="004A3892" w:rsidRPr="00FB3143">
        <w:rPr>
          <w:sz w:val="24"/>
          <w:szCs w:val="24"/>
        </w:rPr>
        <w:t xml:space="preserve"> </w:t>
      </w:r>
      <w:r w:rsidR="00DF18A6" w:rsidRPr="00FB3143">
        <w:rPr>
          <w:sz w:val="24"/>
          <w:szCs w:val="24"/>
        </w:rPr>
        <w:t>concernenti la proprietà intellettuale, la riservatezza e la protezione dei dati personali,</w:t>
      </w:r>
      <w:r w:rsidR="00D87F07" w:rsidRPr="00FB3143">
        <w:rPr>
          <w:sz w:val="24"/>
          <w:szCs w:val="24"/>
        </w:rPr>
        <w:t xml:space="preserve"> </w:t>
      </w:r>
      <w:r w:rsidR="00DF18A6" w:rsidRPr="00FB3143">
        <w:rPr>
          <w:sz w:val="24"/>
          <w:szCs w:val="24"/>
        </w:rPr>
        <w:t>nonché la tutela, l’accesso e la valorizzazione del patrimonio culturale</w:t>
      </w:r>
      <w:r w:rsidR="0080303D" w:rsidRPr="00FB3143">
        <w:rPr>
          <w:rStyle w:val="Rimandonotaapidipagina"/>
          <w:sz w:val="24"/>
          <w:szCs w:val="24"/>
        </w:rPr>
        <w:footnoteReference w:id="37"/>
      </w:r>
      <w:r w:rsidR="00D50F7B" w:rsidRPr="00FB3143">
        <w:rPr>
          <w:sz w:val="24"/>
          <w:szCs w:val="24"/>
        </w:rPr>
        <w:t>»</w:t>
      </w:r>
      <w:r w:rsidR="00CD126D" w:rsidRPr="00FB3143">
        <w:rPr>
          <w:sz w:val="24"/>
          <w:szCs w:val="24"/>
        </w:rPr>
        <w:t xml:space="preserve">; inoltre alcune </w:t>
      </w:r>
      <w:r w:rsidR="00F76143" w:rsidRPr="00FB3143">
        <w:rPr>
          <w:sz w:val="24"/>
          <w:szCs w:val="24"/>
        </w:rPr>
        <w:t>università</w:t>
      </w:r>
      <w:r w:rsidR="0024005C" w:rsidRPr="00FB3143">
        <w:rPr>
          <w:sz w:val="24"/>
          <w:szCs w:val="24"/>
        </w:rPr>
        <w:t>, come l’</w:t>
      </w:r>
      <w:r w:rsidR="00F76143" w:rsidRPr="00FB3143">
        <w:rPr>
          <w:sz w:val="24"/>
          <w:szCs w:val="24"/>
        </w:rPr>
        <w:t>Università</w:t>
      </w:r>
      <w:r w:rsidR="0024005C" w:rsidRPr="00FB3143">
        <w:rPr>
          <w:sz w:val="24"/>
          <w:szCs w:val="24"/>
        </w:rPr>
        <w:t xml:space="preserve"> degli studi di </w:t>
      </w:r>
      <w:r w:rsidR="00B52EF0" w:rsidRPr="00FB3143">
        <w:rPr>
          <w:sz w:val="24"/>
          <w:szCs w:val="24"/>
        </w:rPr>
        <w:t>Pisa</w:t>
      </w:r>
      <w:r w:rsidR="003F3473" w:rsidRPr="00FB3143">
        <w:rPr>
          <w:sz w:val="24"/>
          <w:szCs w:val="24"/>
        </w:rPr>
        <w:t xml:space="preserve"> o </w:t>
      </w:r>
      <w:r w:rsidR="003B23B6" w:rsidRPr="00FB3143">
        <w:rPr>
          <w:sz w:val="24"/>
          <w:szCs w:val="24"/>
        </w:rPr>
        <w:t>l’</w:t>
      </w:r>
      <w:r w:rsidR="00F76143" w:rsidRPr="00FB3143">
        <w:rPr>
          <w:sz w:val="24"/>
          <w:szCs w:val="24"/>
        </w:rPr>
        <w:t>Università</w:t>
      </w:r>
      <w:r w:rsidR="003B23B6" w:rsidRPr="00FB3143">
        <w:rPr>
          <w:sz w:val="24"/>
          <w:szCs w:val="24"/>
        </w:rPr>
        <w:t xml:space="preserve"> degli studi di Trento</w:t>
      </w:r>
      <w:r w:rsidR="003F3473" w:rsidRPr="00FB3143">
        <w:rPr>
          <w:sz w:val="24"/>
          <w:szCs w:val="24"/>
        </w:rPr>
        <w:t xml:space="preserve">, </w:t>
      </w:r>
      <w:r w:rsidR="00CD126D" w:rsidRPr="00FB3143">
        <w:rPr>
          <w:sz w:val="24"/>
          <w:szCs w:val="24"/>
        </w:rPr>
        <w:t xml:space="preserve">hanno </w:t>
      </w:r>
      <w:r w:rsidR="00934955" w:rsidRPr="00FB3143">
        <w:rPr>
          <w:sz w:val="24"/>
          <w:szCs w:val="24"/>
        </w:rPr>
        <w:t>inserito tale principio anche nei propri codici etici</w:t>
      </w:r>
      <w:r w:rsidR="0024005C" w:rsidRPr="00FB3143">
        <w:rPr>
          <w:sz w:val="24"/>
          <w:szCs w:val="24"/>
        </w:rPr>
        <w:t xml:space="preserve">. </w:t>
      </w:r>
      <w:r w:rsidR="00934955" w:rsidRPr="00FB3143">
        <w:rPr>
          <w:sz w:val="24"/>
          <w:szCs w:val="24"/>
        </w:rPr>
        <w:t xml:space="preserve">Alcuni Atenei hanno </w:t>
      </w:r>
      <w:r w:rsidR="00F11ECB" w:rsidRPr="00FB3143">
        <w:rPr>
          <w:sz w:val="24"/>
          <w:szCs w:val="24"/>
        </w:rPr>
        <w:t xml:space="preserve">anche </w:t>
      </w:r>
      <w:r w:rsidR="00934955" w:rsidRPr="00FB3143">
        <w:rPr>
          <w:sz w:val="24"/>
          <w:szCs w:val="24"/>
        </w:rPr>
        <w:t xml:space="preserve">elaborato </w:t>
      </w:r>
      <w:r w:rsidR="005C1075" w:rsidRPr="00FB3143">
        <w:rPr>
          <w:sz w:val="24"/>
          <w:szCs w:val="24"/>
        </w:rPr>
        <w:t xml:space="preserve">una </w:t>
      </w:r>
      <w:r w:rsidR="00D23495" w:rsidRPr="00FB3143">
        <w:rPr>
          <w:sz w:val="24"/>
          <w:szCs w:val="24"/>
        </w:rPr>
        <w:t>politica</w:t>
      </w:r>
      <w:r w:rsidR="00934955" w:rsidRPr="00FB3143">
        <w:rPr>
          <w:sz w:val="24"/>
          <w:szCs w:val="24"/>
        </w:rPr>
        <w:t xml:space="preserve"> in materia</w:t>
      </w:r>
      <w:r w:rsidR="00F11ECB" w:rsidRPr="00FB3143">
        <w:rPr>
          <w:sz w:val="24"/>
          <w:szCs w:val="24"/>
        </w:rPr>
        <w:t xml:space="preserve">: un </w:t>
      </w:r>
      <w:r w:rsidR="00934955" w:rsidRPr="00FB3143">
        <w:rPr>
          <w:sz w:val="24"/>
          <w:szCs w:val="24"/>
        </w:rPr>
        <w:t xml:space="preserve">elenco </w:t>
      </w:r>
      <w:r w:rsidR="00F11ECB" w:rsidRPr="00FB3143">
        <w:rPr>
          <w:sz w:val="24"/>
          <w:szCs w:val="24"/>
        </w:rPr>
        <w:t xml:space="preserve">completo </w:t>
      </w:r>
      <w:r w:rsidR="00934955" w:rsidRPr="00FB3143">
        <w:rPr>
          <w:sz w:val="24"/>
          <w:szCs w:val="24"/>
        </w:rPr>
        <w:t xml:space="preserve">è </w:t>
      </w:r>
      <w:r w:rsidR="00F11ECB" w:rsidRPr="00FB3143">
        <w:rPr>
          <w:sz w:val="24"/>
          <w:szCs w:val="24"/>
        </w:rPr>
        <w:t>presente sul wiki OA</w:t>
      </w:r>
      <w:r w:rsidR="00D50F7B" w:rsidRPr="00FB3143">
        <w:rPr>
          <w:sz w:val="24"/>
          <w:szCs w:val="24"/>
        </w:rPr>
        <w:t>/</w:t>
      </w:r>
      <w:r w:rsidR="00F11ECB" w:rsidRPr="00FB3143">
        <w:rPr>
          <w:sz w:val="24"/>
          <w:szCs w:val="24"/>
        </w:rPr>
        <w:t>Italia, o</w:t>
      </w:r>
      <w:r w:rsidR="00934955" w:rsidRPr="00FB3143">
        <w:rPr>
          <w:sz w:val="24"/>
          <w:szCs w:val="24"/>
        </w:rPr>
        <w:t xml:space="preserve">ve si rileva che a fine 2017 sono 24 le </w:t>
      </w:r>
      <w:r w:rsidR="002B32A0" w:rsidRPr="00FB3143">
        <w:rPr>
          <w:sz w:val="24"/>
          <w:szCs w:val="24"/>
        </w:rPr>
        <w:t>u</w:t>
      </w:r>
      <w:r w:rsidR="00F76143" w:rsidRPr="00FB3143">
        <w:rPr>
          <w:sz w:val="24"/>
          <w:szCs w:val="24"/>
        </w:rPr>
        <w:t>niversità</w:t>
      </w:r>
      <w:r w:rsidR="00934955" w:rsidRPr="00FB3143">
        <w:rPr>
          <w:sz w:val="24"/>
          <w:szCs w:val="24"/>
        </w:rPr>
        <w:t xml:space="preserve"> Ita</w:t>
      </w:r>
      <w:r w:rsidR="00806EF3" w:rsidRPr="00FB3143">
        <w:rPr>
          <w:sz w:val="24"/>
          <w:szCs w:val="24"/>
        </w:rPr>
        <w:t xml:space="preserve">liane che si sono dotate di </w:t>
      </w:r>
      <w:r w:rsidR="00F11ECB" w:rsidRPr="00FB3143">
        <w:rPr>
          <w:sz w:val="24"/>
          <w:szCs w:val="24"/>
        </w:rPr>
        <w:t>tale strumento per regolamentare la politica dell’</w:t>
      </w:r>
      <w:r w:rsidR="00875503" w:rsidRPr="00FB3143">
        <w:rPr>
          <w:sz w:val="24"/>
          <w:szCs w:val="24"/>
        </w:rPr>
        <w:t xml:space="preserve">OA (per l’elenco si veda </w:t>
      </w:r>
      <w:r w:rsidR="00ED3184">
        <w:rPr>
          <w:sz w:val="24"/>
          <w:szCs w:val="24"/>
        </w:rPr>
        <w:t>tabella 1</w:t>
      </w:r>
      <w:r w:rsidR="00934955" w:rsidRPr="00FB3143">
        <w:rPr>
          <w:sz w:val="24"/>
          <w:szCs w:val="24"/>
        </w:rPr>
        <w:t>)</w:t>
      </w:r>
      <w:r w:rsidR="00806EF3" w:rsidRPr="00FB3143">
        <w:rPr>
          <w:sz w:val="24"/>
          <w:szCs w:val="24"/>
        </w:rPr>
        <w:t>.</w:t>
      </w:r>
      <w:r w:rsidR="00D23495" w:rsidRPr="00FB3143">
        <w:rPr>
          <w:sz w:val="24"/>
          <w:szCs w:val="24"/>
        </w:rPr>
        <w:t xml:space="preserve"> In figura 2 sono riportate le università italiane che hanno adottato documenti che disciplinano il deposito e l’accesso aperto dal 2013 ad oggi, in ordine temporale (data del documento).</w:t>
      </w:r>
      <w:r w:rsidR="00682D5F" w:rsidRPr="00FB3143">
        <w:rPr>
          <w:color w:val="FF0000"/>
          <w:sz w:val="24"/>
          <w:szCs w:val="24"/>
        </w:rPr>
        <w:t xml:space="preserve"> </w:t>
      </w:r>
    </w:p>
    <w:p w14:paraId="4AF3FF02" w14:textId="3A9974B4" w:rsidR="00854B85" w:rsidRPr="00FB3143" w:rsidRDefault="00854B85" w:rsidP="00897E15">
      <w:pPr>
        <w:spacing w:after="0" w:line="240" w:lineRule="auto"/>
        <w:jc w:val="both"/>
        <w:rPr>
          <w:sz w:val="24"/>
          <w:szCs w:val="24"/>
        </w:rPr>
      </w:pPr>
    </w:p>
    <w:p w14:paraId="25F3B003" w14:textId="7128B23E" w:rsidR="00E74EC8" w:rsidRPr="00FB3143" w:rsidRDefault="00E74EC8" w:rsidP="00897E15">
      <w:pPr>
        <w:spacing w:after="0" w:line="240" w:lineRule="auto"/>
        <w:ind w:left="568" w:hanging="284"/>
        <w:jc w:val="center"/>
        <w:rPr>
          <w:rFonts w:cs="Tahoma"/>
          <w:color w:val="333333"/>
          <w:sz w:val="24"/>
          <w:szCs w:val="24"/>
          <w:shd w:val="clear" w:color="auto" w:fill="FFFFFF"/>
        </w:rPr>
      </w:pPr>
      <w:r>
        <w:rPr>
          <w:rFonts w:cs="Tahoma"/>
          <w:color w:val="333333"/>
          <w:sz w:val="24"/>
          <w:szCs w:val="24"/>
          <w:shd w:val="clear" w:color="auto" w:fill="FFFFFF"/>
        </w:rPr>
        <w:t>[Fig. 2</w:t>
      </w:r>
      <w:r>
        <w:rPr>
          <w:rFonts w:cs="Tahoma"/>
          <w:color w:val="333333"/>
          <w:sz w:val="24"/>
          <w:szCs w:val="24"/>
          <w:shd w:val="clear" w:color="auto" w:fill="FFFFFF"/>
        </w:rPr>
        <w:t>.]</w:t>
      </w:r>
    </w:p>
    <w:p w14:paraId="30E9E294" w14:textId="1B0B455E" w:rsidR="00854B85" w:rsidRPr="00E74EC8" w:rsidRDefault="00854B85" w:rsidP="00897E15">
      <w:pPr>
        <w:spacing w:after="0" w:line="240" w:lineRule="auto"/>
        <w:ind w:left="568" w:hanging="284"/>
        <w:jc w:val="both"/>
      </w:pPr>
      <w:r w:rsidRPr="00E74EC8">
        <w:t xml:space="preserve">Fig. 2. Italia: </w:t>
      </w:r>
      <w:r w:rsidR="00873522" w:rsidRPr="00E74EC8">
        <w:t>u</w:t>
      </w:r>
      <w:r w:rsidRPr="00E74EC8">
        <w:t>niversità che hanno adottato polit</w:t>
      </w:r>
      <w:r w:rsidR="00AB751C" w:rsidRPr="00E74EC8">
        <w:t>i</w:t>
      </w:r>
      <w:r w:rsidRPr="00E74EC8">
        <w:t>che sull’OA dal 2013 (i numeri ind</w:t>
      </w:r>
      <w:r w:rsidR="008F30D5">
        <w:t>icati da 1 a 24 specificano le u</w:t>
      </w:r>
      <w:r w:rsidRPr="00E74EC8">
        <w:t xml:space="preserve">niversità secondo l’elenco riportato in </w:t>
      </w:r>
      <w:r w:rsidR="00ED3184">
        <w:t>tabella 1</w:t>
      </w:r>
      <w:r w:rsidRPr="00E74EC8">
        <w:t xml:space="preserve">). </w:t>
      </w:r>
      <w:r w:rsidR="008F30D5">
        <w:t>(</w:t>
      </w:r>
      <w:r w:rsidRPr="00E74EC8">
        <w:t xml:space="preserve">Fonte </w:t>
      </w:r>
      <w:r w:rsidR="00575A7A" w:rsidRPr="00E74EC8">
        <w:t>wiki OA/Ita</w:t>
      </w:r>
      <w:r w:rsidR="00BE1E68" w:rsidRPr="00E74EC8">
        <w:t xml:space="preserve">lia, </w:t>
      </w:r>
      <w:r w:rsidR="00BC7778" w:rsidRPr="00E74EC8">
        <w:t>siti istituzionali e contatti diretti</w:t>
      </w:r>
      <w:r w:rsidR="008F30D5">
        <w:t>)</w:t>
      </w:r>
      <w:r w:rsidR="00BC7778" w:rsidRPr="00E74EC8">
        <w:t>.</w:t>
      </w:r>
    </w:p>
    <w:p w14:paraId="17A60609" w14:textId="77777777" w:rsidR="00854B85" w:rsidRPr="00FB3143" w:rsidRDefault="00854B85" w:rsidP="00A87516">
      <w:pPr>
        <w:spacing w:after="0" w:line="240" w:lineRule="auto"/>
        <w:ind w:firstLine="284"/>
        <w:jc w:val="both"/>
        <w:rPr>
          <w:sz w:val="24"/>
          <w:szCs w:val="24"/>
        </w:rPr>
      </w:pPr>
    </w:p>
    <w:p w14:paraId="57423892" w14:textId="77777777" w:rsidR="00C8511E" w:rsidRPr="00FB3143" w:rsidRDefault="00934955" w:rsidP="00A87516">
      <w:pPr>
        <w:spacing w:after="0" w:line="240" w:lineRule="auto"/>
        <w:ind w:firstLine="284"/>
        <w:jc w:val="both"/>
        <w:rPr>
          <w:sz w:val="24"/>
          <w:szCs w:val="24"/>
        </w:rPr>
      </w:pPr>
      <w:r w:rsidRPr="00FB3143">
        <w:rPr>
          <w:sz w:val="24"/>
          <w:szCs w:val="24"/>
        </w:rPr>
        <w:t>Tutti i documenti</w:t>
      </w:r>
      <w:r w:rsidR="00806EF3" w:rsidRPr="00FB3143">
        <w:rPr>
          <w:sz w:val="24"/>
          <w:szCs w:val="24"/>
        </w:rPr>
        <w:t xml:space="preserve"> </w:t>
      </w:r>
      <w:r w:rsidR="00C8511E" w:rsidRPr="00FB3143">
        <w:rPr>
          <w:sz w:val="24"/>
          <w:szCs w:val="24"/>
        </w:rPr>
        <w:t xml:space="preserve">finora </w:t>
      </w:r>
      <w:r w:rsidR="00806EF3" w:rsidRPr="00FB3143">
        <w:rPr>
          <w:sz w:val="24"/>
          <w:szCs w:val="24"/>
        </w:rPr>
        <w:t xml:space="preserve">elaborati </w:t>
      </w:r>
      <w:r w:rsidR="00C8511E" w:rsidRPr="00FB3143">
        <w:rPr>
          <w:sz w:val="24"/>
          <w:szCs w:val="24"/>
        </w:rPr>
        <w:t>dagli</w:t>
      </w:r>
      <w:r w:rsidR="00806EF3" w:rsidRPr="00FB3143">
        <w:rPr>
          <w:sz w:val="24"/>
          <w:szCs w:val="24"/>
        </w:rPr>
        <w:t xml:space="preserve"> </w:t>
      </w:r>
      <w:r w:rsidR="000841C3" w:rsidRPr="00FB3143">
        <w:rPr>
          <w:sz w:val="24"/>
          <w:szCs w:val="24"/>
        </w:rPr>
        <w:t>a</w:t>
      </w:r>
      <w:r w:rsidR="00806EF3" w:rsidRPr="00FB3143">
        <w:rPr>
          <w:sz w:val="24"/>
          <w:szCs w:val="24"/>
        </w:rPr>
        <w:t>tenei</w:t>
      </w:r>
      <w:r w:rsidRPr="00FB3143">
        <w:rPr>
          <w:sz w:val="24"/>
          <w:szCs w:val="24"/>
        </w:rPr>
        <w:t xml:space="preserve"> hanno seguito le linee guida della CRUI e sono piuttosto simili dal punto di vista dei contenuti. </w:t>
      </w:r>
    </w:p>
    <w:p w14:paraId="228126D0" w14:textId="77777777" w:rsidR="00934955" w:rsidRPr="00FB3143" w:rsidRDefault="00A62CD0" w:rsidP="00370114">
      <w:pPr>
        <w:spacing w:after="0" w:line="240" w:lineRule="auto"/>
        <w:ind w:firstLine="284"/>
        <w:jc w:val="both"/>
        <w:rPr>
          <w:sz w:val="24"/>
          <w:szCs w:val="24"/>
        </w:rPr>
      </w:pPr>
      <w:r w:rsidRPr="00FB3143">
        <w:rPr>
          <w:sz w:val="24"/>
          <w:szCs w:val="24"/>
        </w:rPr>
        <w:t>L’obiettivo di questa sezione è quello di descrivere e confrontare le scelte operate dalle</w:t>
      </w:r>
      <w:r w:rsidR="00FE0086" w:rsidRPr="00FB3143">
        <w:rPr>
          <w:sz w:val="24"/>
          <w:szCs w:val="24"/>
        </w:rPr>
        <w:t xml:space="preserve"> u</w:t>
      </w:r>
      <w:r w:rsidR="00F76143" w:rsidRPr="00FB3143">
        <w:rPr>
          <w:sz w:val="24"/>
          <w:szCs w:val="24"/>
        </w:rPr>
        <w:t>niversità</w:t>
      </w:r>
      <w:r w:rsidRPr="00FB3143">
        <w:rPr>
          <w:sz w:val="24"/>
          <w:szCs w:val="24"/>
        </w:rPr>
        <w:t xml:space="preserve"> italiane che si sono dotate di una policy o di un regolamento sull’OA al fine di evidenziare i fattori che accomunano e quelli che differenziano le scelte degli </w:t>
      </w:r>
      <w:r w:rsidR="00F57582" w:rsidRPr="00FB3143">
        <w:rPr>
          <w:sz w:val="24"/>
          <w:szCs w:val="24"/>
        </w:rPr>
        <w:t>a</w:t>
      </w:r>
      <w:r w:rsidRPr="00FB3143">
        <w:rPr>
          <w:sz w:val="24"/>
          <w:szCs w:val="24"/>
        </w:rPr>
        <w:t>tenei.</w:t>
      </w:r>
    </w:p>
    <w:p w14:paraId="4FBAB102" w14:textId="6C295BAC" w:rsidR="00C84540" w:rsidRDefault="00934955" w:rsidP="00C84540">
      <w:pPr>
        <w:spacing w:line="240" w:lineRule="auto"/>
        <w:ind w:firstLine="284"/>
        <w:jc w:val="both"/>
        <w:rPr>
          <w:sz w:val="24"/>
          <w:szCs w:val="24"/>
        </w:rPr>
      </w:pPr>
      <w:r w:rsidRPr="00FB3143">
        <w:rPr>
          <w:sz w:val="24"/>
          <w:szCs w:val="24"/>
        </w:rPr>
        <w:t xml:space="preserve">L’analisi qui condotta prende in considerazione le 24 </w:t>
      </w:r>
      <w:r w:rsidR="00D33BF5" w:rsidRPr="00FB3143">
        <w:rPr>
          <w:sz w:val="24"/>
          <w:szCs w:val="24"/>
        </w:rPr>
        <w:t>u</w:t>
      </w:r>
      <w:r w:rsidR="00F76143" w:rsidRPr="00FB3143">
        <w:rPr>
          <w:sz w:val="24"/>
          <w:szCs w:val="24"/>
        </w:rPr>
        <w:t>niversità</w:t>
      </w:r>
      <w:r w:rsidRPr="00FB3143">
        <w:rPr>
          <w:sz w:val="24"/>
          <w:szCs w:val="24"/>
        </w:rPr>
        <w:t xml:space="preserve"> italiane che hanno adottato una politica interna che regolamenta l’accesso aperto ai risultati della letteratura scientifica</w:t>
      </w:r>
      <w:r w:rsidR="00625E8D" w:rsidRPr="00FB3143">
        <w:rPr>
          <w:sz w:val="24"/>
          <w:szCs w:val="24"/>
        </w:rPr>
        <w:t xml:space="preserve"> ed i cui documenti, liberamente consultabili, sono stati raccolti nella pagina specifica del w</w:t>
      </w:r>
      <w:r w:rsidR="00816B7F" w:rsidRPr="00FB3143">
        <w:rPr>
          <w:sz w:val="24"/>
          <w:szCs w:val="24"/>
        </w:rPr>
        <w:t>iki OA</w:t>
      </w:r>
      <w:r w:rsidR="00713EA6" w:rsidRPr="00FB3143">
        <w:rPr>
          <w:sz w:val="24"/>
          <w:szCs w:val="24"/>
        </w:rPr>
        <w:t>/</w:t>
      </w:r>
      <w:r w:rsidR="00816B7F" w:rsidRPr="00FB3143">
        <w:rPr>
          <w:sz w:val="24"/>
          <w:szCs w:val="24"/>
        </w:rPr>
        <w:t>Italia</w:t>
      </w:r>
      <w:r w:rsidR="00625E8D" w:rsidRPr="00FB3143">
        <w:rPr>
          <w:sz w:val="24"/>
          <w:szCs w:val="24"/>
        </w:rPr>
        <w:t xml:space="preserve"> “</w:t>
      </w:r>
      <w:r w:rsidR="00625E8D" w:rsidRPr="00FB3143">
        <w:rPr>
          <w:i/>
          <w:sz w:val="24"/>
          <w:szCs w:val="24"/>
        </w:rPr>
        <w:t>Regolamenti/policy sull’Open Access</w:t>
      </w:r>
      <w:r w:rsidR="00625E8D" w:rsidRPr="00FB3143">
        <w:rPr>
          <w:sz w:val="24"/>
          <w:szCs w:val="24"/>
        </w:rPr>
        <w:t xml:space="preserve">”, dedicata sia alle esperienze </w:t>
      </w:r>
      <w:r w:rsidR="00343403" w:rsidRPr="00FB3143">
        <w:rPr>
          <w:sz w:val="24"/>
          <w:szCs w:val="24"/>
        </w:rPr>
        <w:t xml:space="preserve">delle </w:t>
      </w:r>
      <w:r w:rsidR="00EA7D4E" w:rsidRPr="00FB3143">
        <w:rPr>
          <w:sz w:val="24"/>
          <w:szCs w:val="24"/>
        </w:rPr>
        <w:t xml:space="preserve">24 </w:t>
      </w:r>
      <w:r w:rsidR="00F76143" w:rsidRPr="00FB3143">
        <w:rPr>
          <w:sz w:val="24"/>
          <w:szCs w:val="24"/>
        </w:rPr>
        <w:t>università</w:t>
      </w:r>
      <w:r w:rsidR="00343403" w:rsidRPr="00FB3143">
        <w:rPr>
          <w:sz w:val="24"/>
          <w:szCs w:val="24"/>
        </w:rPr>
        <w:t>,</w:t>
      </w:r>
      <w:r w:rsidR="00625E8D" w:rsidRPr="00FB3143">
        <w:rPr>
          <w:sz w:val="24"/>
          <w:szCs w:val="24"/>
        </w:rPr>
        <w:t xml:space="preserve"> accomunate anche a quelle di </w:t>
      </w:r>
      <w:r w:rsidR="000F283B" w:rsidRPr="00FB3143">
        <w:rPr>
          <w:sz w:val="24"/>
          <w:szCs w:val="24"/>
        </w:rPr>
        <w:t>un ente di ricerca</w:t>
      </w:r>
      <w:r w:rsidR="00EA7D4E" w:rsidRPr="00FB3143">
        <w:rPr>
          <w:sz w:val="24"/>
          <w:szCs w:val="24"/>
        </w:rPr>
        <w:t xml:space="preserve">, l’Istituto Nazionale di Geofisica e Vulcanologia, </w:t>
      </w:r>
      <w:r w:rsidR="000F283B" w:rsidRPr="00FB3143">
        <w:rPr>
          <w:sz w:val="24"/>
          <w:szCs w:val="24"/>
        </w:rPr>
        <w:t xml:space="preserve">e </w:t>
      </w:r>
      <w:r w:rsidR="00625E8D" w:rsidRPr="00FB3143">
        <w:rPr>
          <w:sz w:val="24"/>
          <w:szCs w:val="24"/>
        </w:rPr>
        <w:t xml:space="preserve">di </w:t>
      </w:r>
      <w:r w:rsidR="000F283B" w:rsidRPr="00FB3143">
        <w:rPr>
          <w:sz w:val="24"/>
          <w:szCs w:val="24"/>
        </w:rPr>
        <w:t>due enti finanziatori della ricerca</w:t>
      </w:r>
      <w:r w:rsidR="00EA7D4E" w:rsidRPr="00FB3143">
        <w:rPr>
          <w:sz w:val="24"/>
          <w:szCs w:val="24"/>
        </w:rPr>
        <w:t xml:space="preserve">, la Fondazione Cariplo e </w:t>
      </w:r>
      <w:proofErr w:type="spellStart"/>
      <w:r w:rsidR="00EA7D4E" w:rsidRPr="00FB3143">
        <w:rPr>
          <w:sz w:val="24"/>
          <w:szCs w:val="24"/>
        </w:rPr>
        <w:t>Telethon</w:t>
      </w:r>
      <w:proofErr w:type="spellEnd"/>
      <w:r w:rsidR="000F283B" w:rsidRPr="00FB3143">
        <w:rPr>
          <w:sz w:val="24"/>
          <w:szCs w:val="24"/>
        </w:rPr>
        <w:t xml:space="preserve">. </w:t>
      </w:r>
      <w:r w:rsidR="0031352A" w:rsidRPr="00FB3143">
        <w:rPr>
          <w:sz w:val="24"/>
          <w:szCs w:val="24"/>
        </w:rPr>
        <w:t>Sono state inoltre prese in considerazione le</w:t>
      </w:r>
      <w:r w:rsidRPr="00FB3143">
        <w:rPr>
          <w:sz w:val="24"/>
          <w:szCs w:val="24"/>
        </w:rPr>
        <w:t xml:space="preserve"> informazioni disponibili fino al 2017 tratte da </w:t>
      </w:r>
      <w:hyperlink r:id="rId9" w:tgtFrame="_blank" w:history="1">
        <w:proofErr w:type="spellStart"/>
        <w:r w:rsidRPr="00FB3143">
          <w:rPr>
            <w:sz w:val="24"/>
            <w:szCs w:val="24"/>
          </w:rPr>
          <w:t>Roarmap</w:t>
        </w:r>
        <w:proofErr w:type="spellEnd"/>
      </w:hyperlink>
      <w:r w:rsidR="007D0C7C" w:rsidRPr="00FB3143">
        <w:rPr>
          <w:sz w:val="24"/>
          <w:szCs w:val="24"/>
        </w:rPr>
        <w:t xml:space="preserve"> </w:t>
      </w:r>
      <w:r w:rsidR="0031352A" w:rsidRPr="00FB3143">
        <w:rPr>
          <w:sz w:val="24"/>
          <w:szCs w:val="24"/>
        </w:rPr>
        <w:t>e i</w:t>
      </w:r>
      <w:r w:rsidR="005E2408" w:rsidRPr="00FB3143">
        <w:rPr>
          <w:sz w:val="24"/>
          <w:szCs w:val="24"/>
        </w:rPr>
        <w:t xml:space="preserve"> risultati dell’indagine di </w:t>
      </w:r>
      <w:proofErr w:type="spellStart"/>
      <w:r w:rsidR="005E2408" w:rsidRPr="00FB3143">
        <w:rPr>
          <w:sz w:val="24"/>
          <w:szCs w:val="24"/>
        </w:rPr>
        <w:t>Vetrò</w:t>
      </w:r>
      <w:proofErr w:type="spellEnd"/>
      <w:r w:rsidR="005E2408" w:rsidRPr="00FB3143">
        <w:rPr>
          <w:sz w:val="24"/>
          <w:szCs w:val="24"/>
        </w:rPr>
        <w:t xml:space="preserve"> e Bianco del 2016</w:t>
      </w:r>
      <w:r w:rsidR="0039185B" w:rsidRPr="00FB3143">
        <w:rPr>
          <w:rStyle w:val="Rimandonotaapidipagina"/>
          <w:sz w:val="24"/>
          <w:szCs w:val="24"/>
        </w:rPr>
        <w:footnoteReference w:id="38"/>
      </w:r>
      <w:r w:rsidR="005E2408" w:rsidRPr="00FB3143">
        <w:rPr>
          <w:sz w:val="24"/>
          <w:szCs w:val="24"/>
        </w:rPr>
        <w:t xml:space="preserve"> che compiono un’analisi di questo tipo sulle 14 </w:t>
      </w:r>
      <w:r w:rsidR="00D33BF5" w:rsidRPr="00FB3143">
        <w:rPr>
          <w:sz w:val="24"/>
          <w:szCs w:val="24"/>
        </w:rPr>
        <w:t>u</w:t>
      </w:r>
      <w:r w:rsidR="00F76143" w:rsidRPr="00FB3143">
        <w:rPr>
          <w:sz w:val="24"/>
          <w:szCs w:val="24"/>
        </w:rPr>
        <w:t>niversità</w:t>
      </w:r>
      <w:r w:rsidR="005E2408" w:rsidRPr="00FB3143">
        <w:rPr>
          <w:sz w:val="24"/>
          <w:szCs w:val="24"/>
        </w:rPr>
        <w:t xml:space="preserve"> italiane che avevano emanato una policy sull’OA</w:t>
      </w:r>
      <w:r w:rsidR="00C84540" w:rsidRPr="00FB3143">
        <w:rPr>
          <w:sz w:val="24"/>
          <w:szCs w:val="24"/>
        </w:rPr>
        <w:t>.</w:t>
      </w:r>
    </w:p>
    <w:p w14:paraId="09AECE1F" w14:textId="77777777" w:rsidR="00897E15" w:rsidRPr="00FB3143" w:rsidRDefault="00897E15" w:rsidP="00C84540">
      <w:pPr>
        <w:spacing w:line="240" w:lineRule="auto"/>
        <w:ind w:firstLine="284"/>
        <w:jc w:val="both"/>
        <w:rPr>
          <w:sz w:val="24"/>
          <w:szCs w:val="24"/>
        </w:rPr>
      </w:pPr>
    </w:p>
    <w:p w14:paraId="48258373" w14:textId="77777777" w:rsidR="00706C71" w:rsidRPr="00FB3143" w:rsidRDefault="00706C71" w:rsidP="00C84540">
      <w:pPr>
        <w:spacing w:line="240" w:lineRule="auto"/>
        <w:ind w:firstLine="284"/>
        <w:jc w:val="both"/>
        <w:rPr>
          <w:rFonts w:eastAsia="Times New Roman"/>
          <w:b/>
          <w:sz w:val="24"/>
          <w:szCs w:val="24"/>
          <w:lang w:eastAsia="it-IT"/>
        </w:rPr>
      </w:pPr>
      <w:r w:rsidRPr="00FB3143">
        <w:rPr>
          <w:rFonts w:eastAsia="Times New Roman"/>
          <w:sz w:val="24"/>
          <w:szCs w:val="24"/>
          <w:lang w:eastAsia="it-IT"/>
        </w:rPr>
        <w:t>4.1</w:t>
      </w:r>
      <w:r w:rsidRPr="00FB3143">
        <w:rPr>
          <w:rFonts w:eastAsia="Times New Roman"/>
          <w:b/>
          <w:sz w:val="24"/>
          <w:szCs w:val="24"/>
          <w:lang w:eastAsia="it-IT"/>
        </w:rPr>
        <w:t xml:space="preserve"> </w:t>
      </w:r>
      <w:r w:rsidRPr="00FB3143">
        <w:rPr>
          <w:rFonts w:eastAsia="Times New Roman"/>
          <w:i/>
          <w:sz w:val="24"/>
          <w:szCs w:val="24"/>
          <w:lang w:eastAsia="it-IT"/>
        </w:rPr>
        <w:t>La metodologia d’indagine</w:t>
      </w:r>
    </w:p>
    <w:p w14:paraId="6230B7EE" w14:textId="074F9DFB" w:rsidR="00934955" w:rsidRPr="00FB3143" w:rsidRDefault="00706C71" w:rsidP="00F26C53">
      <w:pPr>
        <w:spacing w:after="0" w:line="240" w:lineRule="auto"/>
        <w:ind w:firstLine="284"/>
        <w:jc w:val="both"/>
        <w:rPr>
          <w:sz w:val="24"/>
          <w:szCs w:val="24"/>
        </w:rPr>
      </w:pPr>
      <w:r w:rsidRPr="00FB3143">
        <w:rPr>
          <w:rFonts w:eastAsia="Times New Roman"/>
          <w:sz w:val="24"/>
          <w:szCs w:val="24"/>
          <w:lang w:eastAsia="it-IT"/>
        </w:rPr>
        <w:lastRenderedPageBreak/>
        <w:t>Con l’obiettivo di descrivere lo stato dell’arte delle</w:t>
      </w:r>
      <w:r w:rsidR="0012104B" w:rsidRPr="00FB3143">
        <w:rPr>
          <w:rFonts w:eastAsia="Times New Roman"/>
          <w:sz w:val="24"/>
          <w:szCs w:val="24"/>
          <w:lang w:eastAsia="it-IT"/>
        </w:rPr>
        <w:t xml:space="preserve"> u</w:t>
      </w:r>
      <w:r w:rsidR="00F76143" w:rsidRPr="00FB3143">
        <w:rPr>
          <w:rFonts w:eastAsia="Times New Roman"/>
          <w:sz w:val="24"/>
          <w:szCs w:val="24"/>
          <w:lang w:eastAsia="it-IT"/>
        </w:rPr>
        <w:t>niversità</w:t>
      </w:r>
      <w:r w:rsidRPr="00FB3143">
        <w:rPr>
          <w:rFonts w:eastAsia="Times New Roman"/>
          <w:sz w:val="24"/>
          <w:szCs w:val="24"/>
          <w:lang w:eastAsia="it-IT"/>
        </w:rPr>
        <w:t xml:space="preserve"> italiane in merito alla definizione di politiche per l’OA evidenziandone i tratti comuni e quelli distintivi, saranno presentate delle elaborazioni basate sui dati che emergono dalle tre seguenti fonti:</w:t>
      </w:r>
      <w:r w:rsidR="00934955" w:rsidRPr="00FB3143">
        <w:rPr>
          <w:rFonts w:eastAsia="Times New Roman"/>
          <w:sz w:val="24"/>
          <w:szCs w:val="24"/>
          <w:lang w:eastAsia="it-IT"/>
        </w:rPr>
        <w:t xml:space="preserve"> </w:t>
      </w:r>
      <w:r w:rsidR="00E52BC5" w:rsidRPr="00FB3143">
        <w:rPr>
          <w:rFonts w:eastAsia="Times New Roman"/>
          <w:sz w:val="24"/>
          <w:szCs w:val="24"/>
          <w:lang w:eastAsia="it-IT"/>
        </w:rPr>
        <w:t xml:space="preserve">l’indagine di </w:t>
      </w:r>
      <w:proofErr w:type="spellStart"/>
      <w:r w:rsidR="00934955" w:rsidRPr="00FB3143">
        <w:rPr>
          <w:sz w:val="24"/>
          <w:szCs w:val="24"/>
        </w:rPr>
        <w:t>Vetrò</w:t>
      </w:r>
      <w:proofErr w:type="spellEnd"/>
      <w:r w:rsidR="00934955" w:rsidRPr="00FB3143">
        <w:rPr>
          <w:sz w:val="24"/>
          <w:szCs w:val="24"/>
        </w:rPr>
        <w:t xml:space="preserve"> e Bianco</w:t>
      </w:r>
      <w:r w:rsidR="00D23495" w:rsidRPr="00FB3143">
        <w:rPr>
          <w:sz w:val="24"/>
          <w:szCs w:val="24"/>
        </w:rPr>
        <w:t xml:space="preserve"> (fonte [2])</w:t>
      </w:r>
      <w:r w:rsidR="00CE6BE3" w:rsidRPr="00FB3143">
        <w:rPr>
          <w:sz w:val="24"/>
          <w:szCs w:val="24"/>
        </w:rPr>
        <w:t xml:space="preserve">, sulle </w:t>
      </w:r>
      <w:r w:rsidR="00F76143" w:rsidRPr="00FB3143">
        <w:rPr>
          <w:sz w:val="24"/>
          <w:szCs w:val="24"/>
        </w:rPr>
        <w:t>università</w:t>
      </w:r>
      <w:r w:rsidRPr="00FB3143">
        <w:rPr>
          <w:sz w:val="24"/>
          <w:szCs w:val="24"/>
        </w:rPr>
        <w:t xml:space="preserve"> italiane</w:t>
      </w:r>
      <w:r w:rsidR="00F26C53" w:rsidRPr="00FB3143">
        <w:rPr>
          <w:sz w:val="24"/>
          <w:szCs w:val="24"/>
        </w:rPr>
        <w:t xml:space="preserve">, i </w:t>
      </w:r>
      <w:r w:rsidR="00934955" w:rsidRPr="00FB3143">
        <w:rPr>
          <w:sz w:val="24"/>
          <w:szCs w:val="24"/>
        </w:rPr>
        <w:t xml:space="preserve">dati </w:t>
      </w:r>
      <w:proofErr w:type="spellStart"/>
      <w:r w:rsidR="00934955" w:rsidRPr="00FB3143">
        <w:rPr>
          <w:sz w:val="24"/>
          <w:szCs w:val="24"/>
        </w:rPr>
        <w:t>Roarmap</w:t>
      </w:r>
      <w:proofErr w:type="spellEnd"/>
      <w:r w:rsidR="00D23495" w:rsidRPr="00FB3143">
        <w:rPr>
          <w:sz w:val="24"/>
          <w:szCs w:val="24"/>
        </w:rPr>
        <w:t xml:space="preserve"> (fonte [1]),</w:t>
      </w:r>
      <w:r w:rsidR="00934955" w:rsidRPr="00FB3143">
        <w:rPr>
          <w:sz w:val="24"/>
          <w:szCs w:val="24"/>
        </w:rPr>
        <w:t xml:space="preserve"> che non sono perfettamente aggiorna</w:t>
      </w:r>
      <w:r w:rsidR="00F26C53" w:rsidRPr="00FB3143">
        <w:rPr>
          <w:sz w:val="24"/>
          <w:szCs w:val="24"/>
        </w:rPr>
        <w:t xml:space="preserve">ti in quanto alla data della </w:t>
      </w:r>
      <w:r w:rsidR="00934955" w:rsidRPr="00FB3143">
        <w:rPr>
          <w:sz w:val="24"/>
          <w:szCs w:val="24"/>
        </w:rPr>
        <w:t>presente analisi (02-2018)</w:t>
      </w:r>
      <w:r w:rsidR="00F26C53" w:rsidRPr="00FB3143">
        <w:rPr>
          <w:sz w:val="24"/>
          <w:szCs w:val="24"/>
        </w:rPr>
        <w:t xml:space="preserve"> comprendono solo </w:t>
      </w:r>
      <w:r w:rsidR="00934955" w:rsidRPr="00FB3143">
        <w:rPr>
          <w:sz w:val="24"/>
          <w:szCs w:val="24"/>
        </w:rPr>
        <w:t>15 de</w:t>
      </w:r>
      <w:r w:rsidR="00F26C53" w:rsidRPr="00FB3143">
        <w:rPr>
          <w:sz w:val="24"/>
          <w:szCs w:val="24"/>
        </w:rPr>
        <w:t xml:space="preserve">i </w:t>
      </w:r>
      <w:r w:rsidR="00934955" w:rsidRPr="00FB3143">
        <w:rPr>
          <w:sz w:val="24"/>
          <w:szCs w:val="24"/>
        </w:rPr>
        <w:t xml:space="preserve">24 </w:t>
      </w:r>
      <w:r w:rsidR="00F26C53" w:rsidRPr="00FB3143">
        <w:rPr>
          <w:sz w:val="24"/>
          <w:szCs w:val="24"/>
        </w:rPr>
        <w:t xml:space="preserve">atenei </w:t>
      </w:r>
      <w:r w:rsidR="00934955" w:rsidRPr="00FB3143">
        <w:rPr>
          <w:sz w:val="24"/>
          <w:szCs w:val="24"/>
        </w:rPr>
        <w:t>oggetto della presente indagine</w:t>
      </w:r>
      <w:r w:rsidR="00C27EFD" w:rsidRPr="00FB3143">
        <w:rPr>
          <w:sz w:val="24"/>
          <w:szCs w:val="24"/>
        </w:rPr>
        <w:t>,</w:t>
      </w:r>
      <w:r w:rsidR="00F26C53" w:rsidRPr="00FB3143">
        <w:rPr>
          <w:sz w:val="24"/>
          <w:szCs w:val="24"/>
        </w:rPr>
        <w:t xml:space="preserve"> ed </w:t>
      </w:r>
      <w:r w:rsidR="00934955" w:rsidRPr="00FB3143">
        <w:rPr>
          <w:sz w:val="24"/>
          <w:szCs w:val="24"/>
        </w:rPr>
        <w:t>i dati tratti da wiki</w:t>
      </w:r>
      <w:r w:rsidR="005E2408" w:rsidRPr="00FB3143">
        <w:rPr>
          <w:sz w:val="24"/>
          <w:szCs w:val="24"/>
        </w:rPr>
        <w:t xml:space="preserve"> OA</w:t>
      </w:r>
      <w:r w:rsidR="00F26C53" w:rsidRPr="00FB3143">
        <w:rPr>
          <w:sz w:val="24"/>
          <w:szCs w:val="24"/>
        </w:rPr>
        <w:t>/Italia</w:t>
      </w:r>
      <w:r w:rsidR="00C27EFD" w:rsidRPr="00FB3143">
        <w:rPr>
          <w:sz w:val="24"/>
          <w:szCs w:val="24"/>
        </w:rPr>
        <w:t xml:space="preserve"> (fonte [3])</w:t>
      </w:r>
      <w:r w:rsidR="00F26C53" w:rsidRPr="00FB3143">
        <w:rPr>
          <w:sz w:val="24"/>
          <w:szCs w:val="24"/>
        </w:rPr>
        <w:t xml:space="preserve">, relativi alle 24 </w:t>
      </w:r>
      <w:r w:rsidR="00F76143" w:rsidRPr="00FB3143">
        <w:rPr>
          <w:sz w:val="24"/>
          <w:szCs w:val="24"/>
        </w:rPr>
        <w:t>università</w:t>
      </w:r>
      <w:r w:rsidR="00ED3184">
        <w:rPr>
          <w:sz w:val="24"/>
          <w:szCs w:val="24"/>
        </w:rPr>
        <w:t xml:space="preserve"> indicate in tabella 1</w:t>
      </w:r>
      <w:r w:rsidR="00F26C53" w:rsidRPr="00FB3143">
        <w:rPr>
          <w:sz w:val="24"/>
          <w:szCs w:val="24"/>
        </w:rPr>
        <w:t xml:space="preserve">. </w:t>
      </w:r>
    </w:p>
    <w:p w14:paraId="020D078C" w14:textId="54380C59" w:rsidR="005A4BBC" w:rsidRPr="00FB3143" w:rsidRDefault="00E71CE4" w:rsidP="005A4BBC">
      <w:pPr>
        <w:spacing w:after="0" w:line="240" w:lineRule="auto"/>
        <w:ind w:firstLine="284"/>
        <w:jc w:val="both"/>
        <w:rPr>
          <w:sz w:val="24"/>
          <w:szCs w:val="24"/>
        </w:rPr>
      </w:pPr>
      <w:r w:rsidRPr="00FB3143">
        <w:rPr>
          <w:sz w:val="24"/>
          <w:szCs w:val="24"/>
        </w:rPr>
        <w:t>Nella</w:t>
      </w:r>
      <w:r w:rsidR="00934955" w:rsidRPr="00FB3143">
        <w:rPr>
          <w:sz w:val="24"/>
          <w:szCs w:val="24"/>
        </w:rPr>
        <w:t xml:space="preserve"> tabella </w:t>
      </w:r>
      <w:r w:rsidR="00897E15">
        <w:rPr>
          <w:sz w:val="24"/>
          <w:szCs w:val="24"/>
        </w:rPr>
        <w:t>1</w:t>
      </w:r>
      <w:r w:rsidR="00706C71" w:rsidRPr="00FB3143">
        <w:rPr>
          <w:sz w:val="24"/>
          <w:szCs w:val="24"/>
        </w:rPr>
        <w:t xml:space="preserve"> </w:t>
      </w:r>
      <w:r w:rsidR="00934955" w:rsidRPr="00FB3143">
        <w:rPr>
          <w:sz w:val="24"/>
          <w:szCs w:val="24"/>
        </w:rPr>
        <w:t xml:space="preserve">è </w:t>
      </w:r>
      <w:r w:rsidR="00897E15">
        <w:rPr>
          <w:sz w:val="24"/>
          <w:szCs w:val="24"/>
        </w:rPr>
        <w:t xml:space="preserve">inoltre </w:t>
      </w:r>
      <w:r w:rsidR="00934955" w:rsidRPr="00FB3143">
        <w:rPr>
          <w:sz w:val="24"/>
          <w:szCs w:val="24"/>
        </w:rPr>
        <w:t xml:space="preserve">riportato in quali delle fonti [1] e [2] sono censite le </w:t>
      </w:r>
      <w:r w:rsidR="0012104B" w:rsidRPr="00FB3143">
        <w:rPr>
          <w:sz w:val="24"/>
          <w:szCs w:val="24"/>
        </w:rPr>
        <w:t>u</w:t>
      </w:r>
      <w:r w:rsidR="00F76143" w:rsidRPr="00FB3143">
        <w:rPr>
          <w:sz w:val="24"/>
          <w:szCs w:val="24"/>
        </w:rPr>
        <w:t>niversità</w:t>
      </w:r>
      <w:r w:rsidR="005E32B0" w:rsidRPr="00FB3143">
        <w:rPr>
          <w:sz w:val="24"/>
          <w:szCs w:val="24"/>
        </w:rPr>
        <w:t xml:space="preserve"> prese in considerazione</w:t>
      </w:r>
      <w:r w:rsidR="005A4BBC" w:rsidRPr="00FB3143">
        <w:rPr>
          <w:sz w:val="24"/>
          <w:szCs w:val="24"/>
        </w:rPr>
        <w:t>.</w:t>
      </w:r>
    </w:p>
    <w:p w14:paraId="48E7306B" w14:textId="32DDB2A0" w:rsidR="0047290F" w:rsidRPr="00FB3143" w:rsidRDefault="00934955" w:rsidP="0047290F">
      <w:pPr>
        <w:spacing w:line="240" w:lineRule="auto"/>
        <w:ind w:firstLine="284"/>
        <w:jc w:val="both"/>
        <w:rPr>
          <w:sz w:val="24"/>
          <w:szCs w:val="24"/>
        </w:rPr>
      </w:pPr>
      <w:r w:rsidRPr="00FB3143">
        <w:rPr>
          <w:sz w:val="24"/>
          <w:szCs w:val="24"/>
        </w:rPr>
        <w:t xml:space="preserve">Si osservi come per 8 </w:t>
      </w:r>
      <w:r w:rsidR="003D787A" w:rsidRPr="00FB3143">
        <w:rPr>
          <w:sz w:val="24"/>
          <w:szCs w:val="24"/>
        </w:rPr>
        <w:t>u</w:t>
      </w:r>
      <w:r w:rsidR="00F76143" w:rsidRPr="00FB3143">
        <w:rPr>
          <w:sz w:val="24"/>
          <w:szCs w:val="24"/>
        </w:rPr>
        <w:t>niversità</w:t>
      </w:r>
      <w:r w:rsidRPr="00FB3143">
        <w:rPr>
          <w:sz w:val="24"/>
          <w:szCs w:val="24"/>
        </w:rPr>
        <w:t xml:space="preserve"> </w:t>
      </w:r>
      <w:r w:rsidR="005E2408" w:rsidRPr="00FB3143">
        <w:rPr>
          <w:sz w:val="24"/>
          <w:szCs w:val="24"/>
        </w:rPr>
        <w:t>non ci sono rilevazioni in [1] o</w:t>
      </w:r>
      <w:r w:rsidRPr="00FB3143">
        <w:rPr>
          <w:sz w:val="24"/>
          <w:szCs w:val="24"/>
        </w:rPr>
        <w:t xml:space="preserve"> in [2] e pertanto per questi casi </w:t>
      </w:r>
      <w:r w:rsidR="009669D6" w:rsidRPr="00FB3143">
        <w:rPr>
          <w:sz w:val="24"/>
          <w:szCs w:val="24"/>
        </w:rPr>
        <w:t>è stata</w:t>
      </w:r>
      <w:r w:rsidRPr="00FB3143">
        <w:rPr>
          <w:sz w:val="24"/>
          <w:szCs w:val="24"/>
        </w:rPr>
        <w:t xml:space="preserve"> condotta un’analisi aggiuntiva basata su quanto riportato in [3].</w:t>
      </w:r>
      <w:r w:rsidR="005E32B0" w:rsidRPr="00FB3143">
        <w:rPr>
          <w:sz w:val="24"/>
          <w:szCs w:val="24"/>
        </w:rPr>
        <w:t xml:space="preserve"> Nel seguito le </w:t>
      </w:r>
      <w:r w:rsidR="0012104B" w:rsidRPr="00FB3143">
        <w:rPr>
          <w:sz w:val="24"/>
          <w:szCs w:val="24"/>
        </w:rPr>
        <w:t>u</w:t>
      </w:r>
      <w:r w:rsidR="00F76143" w:rsidRPr="00FB3143">
        <w:rPr>
          <w:sz w:val="24"/>
          <w:szCs w:val="24"/>
        </w:rPr>
        <w:t>niversità</w:t>
      </w:r>
      <w:r w:rsidR="005E32B0" w:rsidRPr="00FB3143">
        <w:rPr>
          <w:sz w:val="24"/>
          <w:szCs w:val="24"/>
        </w:rPr>
        <w:t xml:space="preserve"> saranno indicate con il rispettivo </w:t>
      </w:r>
      <w:r w:rsidR="00C201A0" w:rsidRPr="00FB3143">
        <w:rPr>
          <w:sz w:val="24"/>
          <w:szCs w:val="24"/>
        </w:rPr>
        <w:t>numero riportato nella t</w:t>
      </w:r>
      <w:r w:rsidR="00DC47F8">
        <w:rPr>
          <w:sz w:val="24"/>
          <w:szCs w:val="24"/>
        </w:rPr>
        <w:t>abella 1</w:t>
      </w:r>
      <w:r w:rsidR="005E32B0" w:rsidRPr="00FB3143">
        <w:rPr>
          <w:sz w:val="24"/>
          <w:szCs w:val="24"/>
        </w:rPr>
        <w:t>.</w:t>
      </w:r>
    </w:p>
    <w:p w14:paraId="651F59C7" w14:textId="11A392DD" w:rsidR="00897E15" w:rsidRDefault="00897E15" w:rsidP="00BB72A9">
      <w:pPr>
        <w:spacing w:line="240" w:lineRule="auto"/>
      </w:pPr>
      <w:r w:rsidRPr="00897E15">
        <w:rPr>
          <w:noProof/>
          <w:lang w:eastAsia="it-IT"/>
        </w:rPr>
        <w:drawing>
          <wp:inline distT="0" distB="0" distL="0" distR="0" wp14:anchorId="48244761" wp14:editId="45777792">
            <wp:extent cx="6120130" cy="3205387"/>
            <wp:effectExtent l="0" t="0" r="0" b="0"/>
            <wp:docPr id="7" name="Immagine 7" descr="C:\Users\Elisabetta\Desktop\paper OA\ta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isabetta\Desktop\paper OA\tab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205387"/>
                    </a:xfrm>
                    <a:prstGeom prst="rect">
                      <a:avLst/>
                    </a:prstGeom>
                    <a:noFill/>
                    <a:ln>
                      <a:noFill/>
                    </a:ln>
                  </pic:spPr>
                </pic:pic>
              </a:graphicData>
            </a:graphic>
          </wp:inline>
        </w:drawing>
      </w:r>
    </w:p>
    <w:p w14:paraId="5D988CB8" w14:textId="3FFCED10" w:rsidR="00E71CE4" w:rsidRDefault="005A4BBC" w:rsidP="00BB72A9">
      <w:pPr>
        <w:spacing w:line="240" w:lineRule="auto"/>
      </w:pPr>
      <w:proofErr w:type="spellStart"/>
      <w:r w:rsidRPr="00DC47F8">
        <w:t>Tab</w:t>
      </w:r>
      <w:proofErr w:type="spellEnd"/>
      <w:r w:rsidRPr="00DC47F8">
        <w:t>.</w:t>
      </w:r>
      <w:r w:rsidR="00E71CE4" w:rsidRPr="00DC47F8">
        <w:t xml:space="preserve"> </w:t>
      </w:r>
      <w:r w:rsidR="00DC47F8">
        <w:t>1.</w:t>
      </w:r>
      <w:r w:rsidR="00E71CE4" w:rsidRPr="00DC47F8">
        <w:t xml:space="preserve"> Le </w:t>
      </w:r>
      <w:r w:rsidR="009E1839" w:rsidRPr="00DC47F8">
        <w:t>u</w:t>
      </w:r>
      <w:r w:rsidR="00F76143" w:rsidRPr="00DC47F8">
        <w:t>niversità</w:t>
      </w:r>
      <w:r w:rsidR="00E71CE4" w:rsidRPr="00DC47F8">
        <w:t xml:space="preserve"> italiane che hanno adottato una politica sull’</w:t>
      </w:r>
      <w:r w:rsidR="002375C9" w:rsidRPr="00DC47F8">
        <w:t xml:space="preserve">OA fino al 2017. Confronto </w:t>
      </w:r>
      <w:r w:rsidR="00E71CE4" w:rsidRPr="00DC47F8">
        <w:t xml:space="preserve">con quelle censite in </w:t>
      </w:r>
      <w:proofErr w:type="spellStart"/>
      <w:r w:rsidR="00D5270F" w:rsidRPr="00DC47F8">
        <w:t>Roarmap</w:t>
      </w:r>
      <w:proofErr w:type="spellEnd"/>
      <w:r w:rsidR="00D5270F" w:rsidRPr="00DC47F8">
        <w:t xml:space="preserve"> a </w:t>
      </w:r>
      <w:proofErr w:type="gramStart"/>
      <w:r w:rsidR="00D5270F" w:rsidRPr="00DC47F8">
        <w:t>Febbraio</w:t>
      </w:r>
      <w:proofErr w:type="gramEnd"/>
      <w:r w:rsidR="00D5270F" w:rsidRPr="00DC47F8">
        <w:t xml:space="preserve"> 2018 </w:t>
      </w:r>
      <w:r w:rsidR="00E71CE4" w:rsidRPr="00DC47F8">
        <w:t>[1] e</w:t>
      </w:r>
      <w:r w:rsidR="002375C9" w:rsidRPr="00DC47F8">
        <w:t xml:space="preserve"> in</w:t>
      </w:r>
      <w:r w:rsidR="00E71CE4" w:rsidRPr="00DC47F8">
        <w:t xml:space="preserve"> </w:t>
      </w:r>
      <w:proofErr w:type="spellStart"/>
      <w:r w:rsidR="00D5270F" w:rsidRPr="00DC47F8">
        <w:t>Vetrò</w:t>
      </w:r>
      <w:proofErr w:type="spellEnd"/>
      <w:r w:rsidR="00D5270F" w:rsidRPr="00DC47F8">
        <w:t xml:space="preserve"> e Bianco </w:t>
      </w:r>
      <w:r w:rsidR="00E71CE4" w:rsidRPr="00DC47F8">
        <w:t>[2].</w:t>
      </w:r>
    </w:p>
    <w:p w14:paraId="0A392A56" w14:textId="77777777" w:rsidR="00897E15" w:rsidRPr="00DC47F8" w:rsidRDefault="00897E15" w:rsidP="00BB72A9">
      <w:pPr>
        <w:spacing w:line="240" w:lineRule="auto"/>
      </w:pPr>
    </w:p>
    <w:p w14:paraId="405B5FE9" w14:textId="77777777" w:rsidR="00706C71" w:rsidRPr="00FB3143" w:rsidRDefault="00706C71" w:rsidP="00ED10AD">
      <w:pPr>
        <w:spacing w:line="240" w:lineRule="auto"/>
        <w:ind w:firstLine="284"/>
        <w:rPr>
          <w:i/>
          <w:sz w:val="24"/>
          <w:szCs w:val="24"/>
        </w:rPr>
      </w:pPr>
      <w:r w:rsidRPr="00FB3143">
        <w:rPr>
          <w:sz w:val="24"/>
          <w:szCs w:val="24"/>
        </w:rPr>
        <w:t xml:space="preserve">4.2 </w:t>
      </w:r>
      <w:r w:rsidRPr="00FB3143">
        <w:rPr>
          <w:i/>
          <w:sz w:val="24"/>
          <w:szCs w:val="24"/>
        </w:rPr>
        <w:t>Analisi quali-quantitativa</w:t>
      </w:r>
    </w:p>
    <w:p w14:paraId="0C7B569F" w14:textId="26AFABB1" w:rsidR="006D626B" w:rsidRPr="00FB3143" w:rsidRDefault="002375C9" w:rsidP="00897E15">
      <w:pPr>
        <w:spacing w:after="0" w:line="240" w:lineRule="auto"/>
        <w:ind w:firstLine="284"/>
        <w:jc w:val="both"/>
        <w:rPr>
          <w:rFonts w:eastAsia="Times New Roman" w:cs="Times New Roman"/>
          <w:color w:val="000000"/>
          <w:sz w:val="24"/>
          <w:szCs w:val="24"/>
          <w:lang w:eastAsia="it-IT"/>
        </w:rPr>
      </w:pPr>
      <w:r w:rsidRPr="00FB3143">
        <w:rPr>
          <w:rFonts w:eastAsia="Times New Roman" w:cs="Times New Roman"/>
          <w:color w:val="000000"/>
          <w:sz w:val="24"/>
          <w:szCs w:val="24"/>
          <w:lang w:eastAsia="it-IT"/>
        </w:rPr>
        <w:t>Il confronto</w:t>
      </w:r>
      <w:r w:rsidR="00D5270F" w:rsidRPr="00FB3143">
        <w:rPr>
          <w:rFonts w:eastAsia="Times New Roman" w:cs="Times New Roman"/>
          <w:color w:val="000000"/>
          <w:sz w:val="24"/>
          <w:szCs w:val="24"/>
          <w:lang w:eastAsia="it-IT"/>
        </w:rPr>
        <w:t xml:space="preserve"> </w:t>
      </w:r>
      <w:r w:rsidRPr="00FB3143">
        <w:rPr>
          <w:rFonts w:eastAsia="Times New Roman" w:cs="Times New Roman"/>
          <w:color w:val="000000"/>
          <w:sz w:val="24"/>
          <w:szCs w:val="24"/>
          <w:lang w:eastAsia="it-IT"/>
        </w:rPr>
        <w:t xml:space="preserve">ha riguardato alcune delle caratteristiche dei documenti approvati nei diversi Atenei italiani. Tali caratteristiche sono riportate e descritte nel seguente elenco e </w:t>
      </w:r>
      <w:r w:rsidR="00065524" w:rsidRPr="00FB3143">
        <w:rPr>
          <w:rFonts w:eastAsia="Times New Roman" w:cs="Times New Roman"/>
          <w:color w:val="000000"/>
          <w:sz w:val="24"/>
          <w:szCs w:val="24"/>
          <w:lang w:eastAsia="it-IT"/>
        </w:rPr>
        <w:t>dettagliate</w:t>
      </w:r>
      <w:r w:rsidR="004D1B7F" w:rsidRPr="00FB3143">
        <w:rPr>
          <w:rFonts w:eastAsia="Times New Roman" w:cs="Times New Roman"/>
          <w:color w:val="000000"/>
          <w:sz w:val="24"/>
          <w:szCs w:val="24"/>
          <w:lang w:eastAsia="it-IT"/>
        </w:rPr>
        <w:t xml:space="preserve"> in </w:t>
      </w:r>
      <w:r w:rsidR="00065524" w:rsidRPr="00FB3143">
        <w:rPr>
          <w:rFonts w:eastAsia="Times New Roman" w:cs="Times New Roman"/>
          <w:color w:val="000000"/>
          <w:sz w:val="24"/>
          <w:szCs w:val="24"/>
          <w:lang w:eastAsia="it-IT"/>
        </w:rPr>
        <w:t xml:space="preserve">tabella </w:t>
      </w:r>
      <w:r w:rsidR="00897E15">
        <w:rPr>
          <w:rFonts w:eastAsia="Times New Roman" w:cs="Times New Roman"/>
          <w:color w:val="000000"/>
          <w:sz w:val="24"/>
          <w:szCs w:val="24"/>
          <w:lang w:eastAsia="it-IT"/>
        </w:rPr>
        <w:t>2</w:t>
      </w:r>
      <w:r w:rsidRPr="00FB3143">
        <w:rPr>
          <w:rFonts w:eastAsia="Times New Roman" w:cs="Times New Roman"/>
          <w:color w:val="000000"/>
          <w:sz w:val="24"/>
          <w:szCs w:val="24"/>
          <w:lang w:eastAsia="it-IT"/>
        </w:rPr>
        <w:t>.</w:t>
      </w:r>
    </w:p>
    <w:p w14:paraId="72B6D798" w14:textId="77777777" w:rsidR="0047290F" w:rsidRPr="00FB3143" w:rsidRDefault="0047290F" w:rsidP="00897E15">
      <w:pPr>
        <w:spacing w:after="0" w:line="240" w:lineRule="auto"/>
        <w:ind w:firstLine="284"/>
        <w:jc w:val="both"/>
        <w:rPr>
          <w:rFonts w:eastAsia="Times New Roman" w:cs="Times New Roman"/>
          <w:color w:val="000000"/>
          <w:sz w:val="24"/>
          <w:szCs w:val="24"/>
          <w:lang w:eastAsia="it-IT"/>
        </w:rPr>
      </w:pPr>
    </w:p>
    <w:p w14:paraId="73CC5A64" w14:textId="77777777" w:rsidR="00897E15" w:rsidRDefault="004D1B7F" w:rsidP="00897E15">
      <w:pPr>
        <w:pStyle w:val="Paragrafoelenco"/>
        <w:numPr>
          <w:ilvl w:val="0"/>
          <w:numId w:val="11"/>
        </w:numPr>
        <w:spacing w:after="0" w:line="240" w:lineRule="auto"/>
        <w:ind w:left="568" w:hanging="284"/>
        <w:contextualSpacing w:val="0"/>
        <w:jc w:val="both"/>
        <w:rPr>
          <w:rFonts w:eastAsia="Times New Roman" w:cs="Times New Roman"/>
          <w:color w:val="000000"/>
          <w:sz w:val="24"/>
          <w:szCs w:val="24"/>
          <w:lang w:eastAsia="it-IT"/>
        </w:rPr>
      </w:pPr>
      <w:r w:rsidRPr="00FB3143">
        <w:rPr>
          <w:rFonts w:eastAsia="Times New Roman" w:cs="Times New Roman"/>
          <w:color w:val="000000"/>
          <w:sz w:val="24"/>
          <w:szCs w:val="24"/>
          <w:lang w:eastAsia="it-IT"/>
        </w:rPr>
        <w:t xml:space="preserve">MECCANISMI DI APPROVAZIONE </w:t>
      </w:r>
      <w:r w:rsidR="00713ED7" w:rsidRPr="00FB3143">
        <w:rPr>
          <w:rFonts w:eastAsia="Times New Roman" w:cs="Times New Roman"/>
          <w:color w:val="000000"/>
          <w:sz w:val="24"/>
          <w:szCs w:val="24"/>
          <w:lang w:eastAsia="it-IT"/>
        </w:rPr>
        <w:t>DEL DOCUMENTO</w:t>
      </w:r>
      <w:r w:rsidR="00065524" w:rsidRPr="00FB3143">
        <w:rPr>
          <w:rFonts w:eastAsia="Times New Roman" w:cs="Times New Roman"/>
          <w:color w:val="000000"/>
          <w:sz w:val="24"/>
          <w:szCs w:val="24"/>
          <w:lang w:eastAsia="it-IT"/>
        </w:rPr>
        <w:t xml:space="preserve">: </w:t>
      </w:r>
      <w:r w:rsidR="009669D6" w:rsidRPr="00FB3143">
        <w:rPr>
          <w:rFonts w:eastAsia="Times New Roman" w:cs="Times New Roman"/>
          <w:color w:val="000000"/>
          <w:sz w:val="24"/>
          <w:szCs w:val="24"/>
          <w:lang w:eastAsia="it-IT"/>
        </w:rPr>
        <w:t xml:space="preserve">quasi </w:t>
      </w:r>
      <w:r w:rsidR="00065524" w:rsidRPr="00FB3143">
        <w:rPr>
          <w:rFonts w:eastAsia="Times New Roman" w:cs="Times New Roman"/>
          <w:color w:val="000000"/>
          <w:sz w:val="24"/>
          <w:szCs w:val="24"/>
          <w:lang w:eastAsia="it-IT"/>
        </w:rPr>
        <w:t>tutti i documenti sono stati approvat</w:t>
      </w:r>
      <w:r w:rsidR="00547EF1" w:rsidRPr="00FB3143">
        <w:rPr>
          <w:rFonts w:eastAsia="Times New Roman" w:cs="Times New Roman"/>
          <w:color w:val="000000"/>
          <w:sz w:val="24"/>
          <w:szCs w:val="24"/>
          <w:lang w:eastAsia="it-IT"/>
        </w:rPr>
        <w:t xml:space="preserve">i dal S.A. delle </w:t>
      </w:r>
      <w:r w:rsidR="00F76143" w:rsidRPr="00FB3143">
        <w:rPr>
          <w:rFonts w:eastAsia="Times New Roman" w:cs="Times New Roman"/>
          <w:color w:val="000000"/>
          <w:sz w:val="24"/>
          <w:szCs w:val="24"/>
          <w:lang w:eastAsia="it-IT"/>
        </w:rPr>
        <w:t>università</w:t>
      </w:r>
    </w:p>
    <w:p w14:paraId="73295F6A" w14:textId="0019AB46" w:rsidR="007F1D94" w:rsidRPr="00897E15" w:rsidRDefault="00934955" w:rsidP="00897E15">
      <w:pPr>
        <w:spacing w:after="0" w:line="240" w:lineRule="auto"/>
        <w:ind w:left="284"/>
        <w:jc w:val="both"/>
        <w:rPr>
          <w:rFonts w:eastAsia="Times New Roman" w:cs="Times New Roman"/>
          <w:color w:val="000000"/>
          <w:sz w:val="24"/>
          <w:szCs w:val="24"/>
          <w:lang w:eastAsia="it-IT"/>
        </w:rPr>
      </w:pPr>
      <w:r w:rsidRPr="00897E15">
        <w:rPr>
          <w:rFonts w:eastAsia="Times New Roman" w:cs="Times New Roman"/>
          <w:color w:val="000000"/>
          <w:sz w:val="24"/>
          <w:szCs w:val="24"/>
          <w:lang w:eastAsia="it-IT"/>
        </w:rPr>
        <w:t>Sui meccanismi di approvazione del documento si vuole evidenziare se c’è stato un passaggio di approvazione dal Senato Accademico. Questo aspetto è stato preso in considerazione in [1] e [2] e risulta che in tutti i casi già valutati in [1] i documenti sono sempre stati approvati dal S.A., mentre per quelli considerati in [2] l’informazione non è disponibile per la SISSA e per l’</w:t>
      </w:r>
      <w:r w:rsidR="00F76143" w:rsidRPr="00897E15">
        <w:rPr>
          <w:rFonts w:eastAsia="Times New Roman" w:cs="Times New Roman"/>
          <w:color w:val="000000"/>
          <w:sz w:val="24"/>
          <w:szCs w:val="24"/>
          <w:lang w:eastAsia="it-IT"/>
        </w:rPr>
        <w:t>Università</w:t>
      </w:r>
      <w:r w:rsidRPr="00897E15">
        <w:rPr>
          <w:rFonts w:eastAsia="Times New Roman" w:cs="Times New Roman"/>
          <w:color w:val="000000"/>
          <w:sz w:val="24"/>
          <w:szCs w:val="24"/>
          <w:lang w:eastAsia="it-IT"/>
        </w:rPr>
        <w:t xml:space="preserve"> degli Studi di Foggia.</w:t>
      </w:r>
      <w:r w:rsidR="004802F4" w:rsidRPr="00897E15">
        <w:rPr>
          <w:rFonts w:eastAsia="Times New Roman" w:cs="Times New Roman"/>
          <w:color w:val="000000"/>
          <w:sz w:val="24"/>
          <w:szCs w:val="24"/>
          <w:lang w:eastAsia="it-IT"/>
        </w:rPr>
        <w:t xml:space="preserve"> </w:t>
      </w:r>
      <w:r w:rsidR="00065524" w:rsidRPr="00897E15">
        <w:rPr>
          <w:rFonts w:eastAsia="Times New Roman" w:cs="Times New Roman"/>
          <w:color w:val="000000"/>
          <w:sz w:val="24"/>
          <w:szCs w:val="24"/>
          <w:lang w:eastAsia="it-IT"/>
        </w:rPr>
        <w:t>I dati mancanti sono stati ottenuti mediante contatti diretti</w:t>
      </w:r>
      <w:r w:rsidR="009669D6" w:rsidRPr="00897E15">
        <w:rPr>
          <w:rFonts w:eastAsia="Times New Roman" w:cs="Times New Roman"/>
          <w:color w:val="000000"/>
          <w:sz w:val="24"/>
          <w:szCs w:val="24"/>
          <w:lang w:eastAsia="it-IT"/>
        </w:rPr>
        <w:t xml:space="preserve"> ed </w:t>
      </w:r>
      <w:r w:rsidR="009669D6" w:rsidRPr="00897E15">
        <w:rPr>
          <w:rFonts w:eastAsia="Times New Roman" w:cs="Times New Roman"/>
          <w:color w:val="000000"/>
          <w:sz w:val="24"/>
          <w:szCs w:val="24"/>
          <w:lang w:eastAsia="it-IT"/>
        </w:rPr>
        <w:lastRenderedPageBreak/>
        <w:t>è stato verificato che</w:t>
      </w:r>
      <w:r w:rsidR="004802F4" w:rsidRPr="00897E15">
        <w:rPr>
          <w:rFonts w:eastAsia="Times New Roman" w:cs="Times New Roman"/>
          <w:color w:val="000000"/>
          <w:sz w:val="24"/>
          <w:szCs w:val="24"/>
          <w:lang w:eastAsia="it-IT"/>
        </w:rPr>
        <w:t>,</w:t>
      </w:r>
      <w:r w:rsidR="009669D6" w:rsidRPr="00897E15">
        <w:rPr>
          <w:rFonts w:eastAsia="Times New Roman" w:cs="Times New Roman"/>
          <w:color w:val="000000"/>
          <w:sz w:val="24"/>
          <w:szCs w:val="24"/>
          <w:lang w:eastAsia="it-IT"/>
        </w:rPr>
        <w:t xml:space="preserve"> salvo nel caso dell’Università di Bari tutti i documenti</w:t>
      </w:r>
      <w:r w:rsidR="004802F4" w:rsidRPr="00897E15">
        <w:rPr>
          <w:rFonts w:eastAsia="Times New Roman" w:cs="Times New Roman"/>
          <w:color w:val="000000"/>
          <w:sz w:val="24"/>
          <w:szCs w:val="24"/>
          <w:lang w:eastAsia="it-IT"/>
        </w:rPr>
        <w:t>,</w:t>
      </w:r>
      <w:r w:rsidR="009669D6" w:rsidRPr="00897E15">
        <w:rPr>
          <w:rFonts w:eastAsia="Times New Roman" w:cs="Times New Roman"/>
          <w:color w:val="000000"/>
          <w:sz w:val="24"/>
          <w:szCs w:val="24"/>
          <w:lang w:eastAsia="it-IT"/>
        </w:rPr>
        <w:t xml:space="preserve"> sono stati approvati dal S.A.</w:t>
      </w:r>
      <w:r w:rsidR="00065524" w:rsidRPr="00897E15">
        <w:rPr>
          <w:rFonts w:eastAsia="Times New Roman" w:cs="Times New Roman"/>
          <w:color w:val="000000"/>
          <w:sz w:val="24"/>
          <w:szCs w:val="24"/>
          <w:lang w:eastAsia="it-IT"/>
        </w:rPr>
        <w:t xml:space="preserve"> </w:t>
      </w:r>
    </w:p>
    <w:p w14:paraId="153E47AB" w14:textId="77777777" w:rsidR="004D1B7F" w:rsidRPr="00FB3143" w:rsidRDefault="004D1B7F" w:rsidP="00897E15">
      <w:pPr>
        <w:spacing w:after="0" w:line="240" w:lineRule="auto"/>
        <w:rPr>
          <w:rFonts w:eastAsia="Times New Roman" w:cs="Times New Roman"/>
          <w:color w:val="000000"/>
          <w:sz w:val="24"/>
          <w:szCs w:val="24"/>
          <w:lang w:eastAsia="it-IT"/>
        </w:rPr>
      </w:pPr>
    </w:p>
    <w:p w14:paraId="11501CCD" w14:textId="77777777" w:rsidR="004D1B7F" w:rsidRPr="00FB3143" w:rsidRDefault="00AA39C5" w:rsidP="00897E15">
      <w:pPr>
        <w:pStyle w:val="Paragrafoelenco"/>
        <w:numPr>
          <w:ilvl w:val="0"/>
          <w:numId w:val="11"/>
        </w:numPr>
        <w:spacing w:after="0" w:line="240" w:lineRule="auto"/>
        <w:ind w:left="568" w:hanging="284"/>
        <w:jc w:val="both"/>
        <w:rPr>
          <w:rFonts w:eastAsia="Times New Roman" w:cs="Times New Roman"/>
          <w:color w:val="000000"/>
          <w:sz w:val="24"/>
          <w:szCs w:val="24"/>
          <w:lang w:eastAsia="it-IT"/>
        </w:rPr>
      </w:pPr>
      <w:r w:rsidRPr="00FB3143">
        <w:rPr>
          <w:rFonts w:eastAsia="Times New Roman" w:cs="Times New Roman"/>
          <w:color w:val="000000"/>
          <w:sz w:val="24"/>
          <w:szCs w:val="24"/>
          <w:lang w:eastAsia="it-IT"/>
        </w:rPr>
        <w:t>NOME DATO AL DOCUMENTO</w:t>
      </w:r>
      <w:r w:rsidR="00065524" w:rsidRPr="00FB3143">
        <w:rPr>
          <w:rFonts w:eastAsia="Times New Roman" w:cs="Times New Roman"/>
          <w:color w:val="000000"/>
          <w:sz w:val="24"/>
          <w:szCs w:val="24"/>
          <w:lang w:eastAsia="it-IT"/>
        </w:rPr>
        <w:t xml:space="preserve">: le </w:t>
      </w:r>
      <w:r w:rsidR="009A3C3C" w:rsidRPr="00FB3143">
        <w:rPr>
          <w:rFonts w:eastAsia="Times New Roman" w:cs="Times New Roman"/>
          <w:color w:val="000000"/>
          <w:sz w:val="24"/>
          <w:szCs w:val="24"/>
          <w:lang w:eastAsia="it-IT"/>
        </w:rPr>
        <w:t>u</w:t>
      </w:r>
      <w:r w:rsidR="00F76143" w:rsidRPr="00FB3143">
        <w:rPr>
          <w:rFonts w:eastAsia="Times New Roman" w:cs="Times New Roman"/>
          <w:color w:val="000000"/>
          <w:sz w:val="24"/>
          <w:szCs w:val="24"/>
          <w:lang w:eastAsia="it-IT"/>
        </w:rPr>
        <w:t>niversità</w:t>
      </w:r>
      <w:r w:rsidR="001118C4" w:rsidRPr="00FB3143">
        <w:rPr>
          <w:rFonts w:eastAsia="Times New Roman" w:cs="Times New Roman"/>
          <w:color w:val="000000"/>
          <w:sz w:val="24"/>
          <w:szCs w:val="24"/>
          <w:lang w:eastAsia="it-IT"/>
        </w:rPr>
        <w:t xml:space="preserve"> hanno di norma optato </w:t>
      </w:r>
      <w:r w:rsidR="00065524" w:rsidRPr="00FB3143">
        <w:rPr>
          <w:rFonts w:eastAsia="Times New Roman" w:cs="Times New Roman"/>
          <w:color w:val="000000"/>
          <w:sz w:val="24"/>
          <w:szCs w:val="24"/>
          <w:lang w:eastAsia="it-IT"/>
        </w:rPr>
        <w:t xml:space="preserve">per </w:t>
      </w:r>
      <w:r w:rsidR="00973FE2" w:rsidRPr="00FB3143">
        <w:rPr>
          <w:rFonts w:eastAsia="Times New Roman" w:cs="Times New Roman"/>
          <w:color w:val="000000"/>
          <w:sz w:val="24"/>
          <w:szCs w:val="24"/>
          <w:lang w:eastAsia="it-IT"/>
        </w:rPr>
        <w:t>chiamarlo</w:t>
      </w:r>
      <w:r w:rsidR="00065524" w:rsidRPr="00FB3143">
        <w:rPr>
          <w:rFonts w:eastAsia="Times New Roman" w:cs="Times New Roman"/>
          <w:color w:val="000000"/>
          <w:sz w:val="24"/>
          <w:szCs w:val="24"/>
          <w:lang w:eastAsia="it-IT"/>
        </w:rPr>
        <w:t xml:space="preserve"> Policy</w:t>
      </w:r>
    </w:p>
    <w:p w14:paraId="496DA85C" w14:textId="77777777" w:rsidR="0031352A" w:rsidRPr="00FB3143" w:rsidRDefault="0031352A" w:rsidP="00897E15">
      <w:pPr>
        <w:spacing w:after="0" w:line="240" w:lineRule="auto"/>
        <w:ind w:left="284"/>
        <w:jc w:val="both"/>
        <w:rPr>
          <w:sz w:val="24"/>
          <w:szCs w:val="24"/>
        </w:rPr>
      </w:pPr>
      <w:r w:rsidRPr="00FB3143">
        <w:rPr>
          <w:sz w:val="24"/>
          <w:szCs w:val="24"/>
        </w:rPr>
        <w:t>Una prima scelta che ha differenziato</w:t>
      </w:r>
      <w:r w:rsidR="00065524" w:rsidRPr="00FB3143">
        <w:rPr>
          <w:sz w:val="24"/>
          <w:szCs w:val="24"/>
        </w:rPr>
        <w:t xml:space="preserve"> gli A</w:t>
      </w:r>
      <w:r w:rsidRPr="00FB3143">
        <w:rPr>
          <w:sz w:val="24"/>
          <w:szCs w:val="24"/>
        </w:rPr>
        <w:t>tenei è quella di orientarsi verso la forma del Regolamento (con relativi articoli) o della Policy</w:t>
      </w:r>
      <w:r w:rsidR="002F0321" w:rsidRPr="00FB3143">
        <w:rPr>
          <w:sz w:val="24"/>
          <w:szCs w:val="24"/>
        </w:rPr>
        <w:t>/Politiche</w:t>
      </w:r>
      <w:r w:rsidRPr="00FB3143">
        <w:rPr>
          <w:sz w:val="24"/>
          <w:szCs w:val="24"/>
        </w:rPr>
        <w:t xml:space="preserve"> (articolata in punti)</w:t>
      </w:r>
      <w:r w:rsidR="002F0321" w:rsidRPr="00FB3143">
        <w:rPr>
          <w:sz w:val="24"/>
          <w:szCs w:val="24"/>
        </w:rPr>
        <w:t xml:space="preserve"> o, inf</w:t>
      </w:r>
      <w:r w:rsidR="005E32B0" w:rsidRPr="00FB3143">
        <w:rPr>
          <w:sz w:val="24"/>
          <w:szCs w:val="24"/>
        </w:rPr>
        <w:t>ine, di predisporre un documento</w:t>
      </w:r>
      <w:r w:rsidR="002F0321" w:rsidRPr="00FB3143">
        <w:rPr>
          <w:sz w:val="24"/>
          <w:szCs w:val="24"/>
        </w:rPr>
        <w:t xml:space="preserve"> di Linee guida o di indirizzo</w:t>
      </w:r>
      <w:r w:rsidRPr="00FB3143">
        <w:rPr>
          <w:sz w:val="24"/>
          <w:szCs w:val="24"/>
        </w:rPr>
        <w:t>.</w:t>
      </w:r>
      <w:r w:rsidR="002F0321" w:rsidRPr="00FB3143">
        <w:rPr>
          <w:sz w:val="24"/>
          <w:szCs w:val="24"/>
        </w:rPr>
        <w:t xml:space="preserve"> Questo asp</w:t>
      </w:r>
      <w:r w:rsidR="002A5746" w:rsidRPr="00FB3143">
        <w:rPr>
          <w:sz w:val="24"/>
          <w:szCs w:val="24"/>
        </w:rPr>
        <w:t xml:space="preserve">etto non è stato rilevato in [1] o in [2] tuttavia dai documenti disponibili in </w:t>
      </w:r>
      <w:r w:rsidR="008E28F6" w:rsidRPr="00FB3143">
        <w:rPr>
          <w:sz w:val="24"/>
          <w:szCs w:val="24"/>
        </w:rPr>
        <w:t xml:space="preserve">wiki OA/Italia </w:t>
      </w:r>
      <w:r w:rsidR="002A5746" w:rsidRPr="00FB3143">
        <w:rPr>
          <w:sz w:val="24"/>
          <w:szCs w:val="24"/>
        </w:rPr>
        <w:t xml:space="preserve">è possibile verificare che </w:t>
      </w:r>
      <w:r w:rsidR="005E32B0" w:rsidRPr="00FB3143">
        <w:rPr>
          <w:sz w:val="24"/>
          <w:szCs w:val="24"/>
        </w:rPr>
        <w:t xml:space="preserve">15 delle 24 </w:t>
      </w:r>
      <w:r w:rsidR="009A3C3C" w:rsidRPr="00FB3143">
        <w:rPr>
          <w:sz w:val="24"/>
          <w:szCs w:val="24"/>
        </w:rPr>
        <w:t>u</w:t>
      </w:r>
      <w:r w:rsidR="00F76143" w:rsidRPr="00FB3143">
        <w:rPr>
          <w:sz w:val="24"/>
          <w:szCs w:val="24"/>
        </w:rPr>
        <w:t>niversità</w:t>
      </w:r>
      <w:r w:rsidR="005E32B0" w:rsidRPr="00FB3143">
        <w:rPr>
          <w:sz w:val="24"/>
          <w:szCs w:val="24"/>
        </w:rPr>
        <w:t xml:space="preserve"> considerate hanno optato per la Policy</w:t>
      </w:r>
      <w:r w:rsidR="00713ED7" w:rsidRPr="00FB3143">
        <w:rPr>
          <w:sz w:val="24"/>
          <w:szCs w:val="24"/>
        </w:rPr>
        <w:t>,</w:t>
      </w:r>
      <w:r w:rsidR="005E32B0" w:rsidRPr="00FB3143">
        <w:rPr>
          <w:sz w:val="24"/>
          <w:szCs w:val="24"/>
        </w:rPr>
        <w:t xml:space="preserve"> </w:t>
      </w:r>
      <w:r w:rsidR="00065524" w:rsidRPr="00FB3143">
        <w:rPr>
          <w:sz w:val="24"/>
          <w:szCs w:val="24"/>
        </w:rPr>
        <w:t>7 hanno scelto di definire un Regolamento mentre solo 2 hanno optato per le Linee guida o di indirizzo</w:t>
      </w:r>
      <w:r w:rsidR="00713ED7" w:rsidRPr="00FB3143">
        <w:rPr>
          <w:sz w:val="24"/>
          <w:szCs w:val="24"/>
        </w:rPr>
        <w:t xml:space="preserve"> </w:t>
      </w:r>
      <w:r w:rsidR="001118C4" w:rsidRPr="00FB3143">
        <w:rPr>
          <w:sz w:val="24"/>
          <w:szCs w:val="24"/>
        </w:rPr>
        <w:t>(si veda f</w:t>
      </w:r>
      <w:r w:rsidR="00713ED7" w:rsidRPr="00FB3143">
        <w:rPr>
          <w:sz w:val="24"/>
          <w:szCs w:val="24"/>
        </w:rPr>
        <w:t xml:space="preserve">igura </w:t>
      </w:r>
      <w:r w:rsidR="009669D6" w:rsidRPr="00FB3143">
        <w:rPr>
          <w:sz w:val="24"/>
          <w:szCs w:val="24"/>
        </w:rPr>
        <w:t>3</w:t>
      </w:r>
      <w:r w:rsidR="00713ED7" w:rsidRPr="00FB3143">
        <w:rPr>
          <w:sz w:val="24"/>
          <w:szCs w:val="24"/>
        </w:rPr>
        <w:t>).</w:t>
      </w:r>
    </w:p>
    <w:p w14:paraId="0EE09AA1" w14:textId="77777777" w:rsidR="005E32B0" w:rsidRPr="00FB3143" w:rsidRDefault="005E32B0" w:rsidP="00897E15">
      <w:pPr>
        <w:pStyle w:val="Paragrafoelenco"/>
        <w:spacing w:after="0"/>
        <w:rPr>
          <w:sz w:val="24"/>
          <w:szCs w:val="24"/>
        </w:rPr>
      </w:pPr>
    </w:p>
    <w:p w14:paraId="5998D7B9" w14:textId="59269479" w:rsidR="005E32B0" w:rsidRPr="00FB3143" w:rsidRDefault="00DC47F8" w:rsidP="00897E15">
      <w:pPr>
        <w:pStyle w:val="Paragrafoelenco"/>
        <w:spacing w:after="0" w:line="240" w:lineRule="auto"/>
        <w:ind w:left="568" w:hanging="284"/>
        <w:jc w:val="center"/>
        <w:rPr>
          <w:sz w:val="24"/>
          <w:szCs w:val="24"/>
        </w:rPr>
      </w:pPr>
      <w:r>
        <w:rPr>
          <w:noProof/>
          <w:sz w:val="24"/>
          <w:szCs w:val="24"/>
          <w:lang w:eastAsia="it-IT"/>
        </w:rPr>
        <w:t>[Fig. 3.]</w:t>
      </w:r>
    </w:p>
    <w:p w14:paraId="5798A7C0" w14:textId="14116C67" w:rsidR="00934955" w:rsidRDefault="00D16085" w:rsidP="00897E15">
      <w:pPr>
        <w:spacing w:after="0" w:line="240" w:lineRule="auto"/>
        <w:ind w:left="568" w:hanging="284"/>
        <w:jc w:val="both"/>
      </w:pPr>
      <w:r w:rsidRPr="00DC47F8">
        <w:t>Fig.</w:t>
      </w:r>
      <w:r w:rsidR="005E32B0" w:rsidRPr="00DC47F8">
        <w:t xml:space="preserve"> </w:t>
      </w:r>
      <w:r w:rsidR="009669D6" w:rsidRPr="00DC47F8">
        <w:t>3</w:t>
      </w:r>
      <w:r w:rsidR="00DC47F8" w:rsidRPr="00DC47F8">
        <w:t>.</w:t>
      </w:r>
      <w:r w:rsidR="005E32B0" w:rsidRPr="00DC47F8">
        <w:t xml:space="preserve"> </w:t>
      </w:r>
      <w:r w:rsidR="00F76143" w:rsidRPr="00DC47F8">
        <w:t>Università</w:t>
      </w:r>
      <w:r w:rsidR="005E32B0" w:rsidRPr="00DC47F8">
        <w:t xml:space="preserve"> italiane e scelta fra policy</w:t>
      </w:r>
      <w:r w:rsidR="009669D6" w:rsidRPr="00DC47F8">
        <w:t xml:space="preserve"> (P)</w:t>
      </w:r>
      <w:r w:rsidR="005E32B0" w:rsidRPr="00DC47F8">
        <w:t>, regolamento</w:t>
      </w:r>
      <w:r w:rsidR="009669D6" w:rsidRPr="00DC47F8">
        <w:t xml:space="preserve"> (R)</w:t>
      </w:r>
      <w:r w:rsidR="005E32B0" w:rsidRPr="00DC47F8">
        <w:t xml:space="preserve"> </w:t>
      </w:r>
      <w:r w:rsidR="00AA39C5" w:rsidRPr="00DC47F8">
        <w:t>e</w:t>
      </w:r>
      <w:r w:rsidR="005E32B0" w:rsidRPr="00DC47F8">
        <w:t xml:space="preserve"> linea guida</w:t>
      </w:r>
      <w:r w:rsidR="00973FE2" w:rsidRPr="00DC47F8">
        <w:t xml:space="preserve"> o </w:t>
      </w:r>
      <w:r w:rsidR="005E32B0" w:rsidRPr="00DC47F8">
        <w:t>di indirizzo</w:t>
      </w:r>
      <w:r w:rsidR="009669D6" w:rsidRPr="00DC47F8">
        <w:t xml:space="preserve"> (L)</w:t>
      </w:r>
      <w:r w:rsidR="005E32B0" w:rsidRPr="00DC47F8">
        <w:t>.</w:t>
      </w:r>
    </w:p>
    <w:p w14:paraId="7B7876DE" w14:textId="77777777" w:rsidR="00897E15" w:rsidRPr="00DC47F8" w:rsidRDefault="00897E15" w:rsidP="00897E15">
      <w:pPr>
        <w:spacing w:after="0" w:line="240" w:lineRule="auto"/>
        <w:ind w:left="568" w:hanging="284"/>
        <w:jc w:val="both"/>
      </w:pPr>
    </w:p>
    <w:p w14:paraId="16685EE6" w14:textId="77777777" w:rsidR="00AA39C5" w:rsidRPr="00FB3143" w:rsidRDefault="00AA39C5" w:rsidP="00897E15">
      <w:pPr>
        <w:pStyle w:val="Paragrafoelenco"/>
        <w:numPr>
          <w:ilvl w:val="0"/>
          <w:numId w:val="11"/>
        </w:numPr>
        <w:spacing w:after="0" w:line="240" w:lineRule="auto"/>
        <w:ind w:left="568" w:hanging="284"/>
        <w:jc w:val="both"/>
        <w:rPr>
          <w:rFonts w:eastAsia="Times New Roman" w:cs="Times New Roman"/>
          <w:color w:val="000000"/>
          <w:sz w:val="24"/>
          <w:szCs w:val="24"/>
          <w:lang w:eastAsia="it-IT"/>
        </w:rPr>
      </w:pPr>
      <w:r w:rsidRPr="00FB3143">
        <w:rPr>
          <w:rFonts w:eastAsia="Times New Roman" w:cs="Times New Roman"/>
          <w:color w:val="000000"/>
          <w:sz w:val="24"/>
          <w:szCs w:val="24"/>
          <w:lang w:eastAsia="it-IT"/>
        </w:rPr>
        <w:t xml:space="preserve">OBBLIGATORIETA’ DEL DEPOSITO </w:t>
      </w:r>
      <w:r w:rsidR="00065524" w:rsidRPr="00FB3143">
        <w:rPr>
          <w:rFonts w:eastAsia="Times New Roman" w:cs="Times New Roman"/>
          <w:color w:val="000000"/>
          <w:sz w:val="24"/>
          <w:szCs w:val="24"/>
          <w:lang w:eastAsia="it-IT"/>
        </w:rPr>
        <w:t>E</w:t>
      </w:r>
      <w:r w:rsidR="00713ED7" w:rsidRPr="00FB3143">
        <w:rPr>
          <w:rFonts w:eastAsia="Times New Roman" w:cs="Times New Roman"/>
          <w:color w:val="000000"/>
          <w:sz w:val="24"/>
          <w:szCs w:val="24"/>
          <w:lang w:eastAsia="it-IT"/>
        </w:rPr>
        <w:t xml:space="preserve"> (D) </w:t>
      </w:r>
      <w:r w:rsidR="00065524" w:rsidRPr="00FB3143">
        <w:rPr>
          <w:rFonts w:eastAsia="Times New Roman" w:cs="Times New Roman"/>
          <w:color w:val="000000"/>
          <w:sz w:val="24"/>
          <w:szCs w:val="24"/>
          <w:lang w:eastAsia="it-IT"/>
        </w:rPr>
        <w:t xml:space="preserve">LUOGO DEL DEPOSITO: tutte le </w:t>
      </w:r>
      <w:r w:rsidR="00494C0C" w:rsidRPr="00FB3143">
        <w:rPr>
          <w:rFonts w:eastAsia="Times New Roman" w:cs="Times New Roman"/>
          <w:color w:val="000000"/>
          <w:sz w:val="24"/>
          <w:szCs w:val="24"/>
          <w:lang w:eastAsia="it-IT"/>
        </w:rPr>
        <w:t>u</w:t>
      </w:r>
      <w:r w:rsidR="00F76143" w:rsidRPr="00FB3143">
        <w:rPr>
          <w:rFonts w:eastAsia="Times New Roman" w:cs="Times New Roman"/>
          <w:color w:val="000000"/>
          <w:sz w:val="24"/>
          <w:szCs w:val="24"/>
          <w:lang w:eastAsia="it-IT"/>
        </w:rPr>
        <w:t>niversità</w:t>
      </w:r>
      <w:r w:rsidR="00065524" w:rsidRPr="00FB3143">
        <w:rPr>
          <w:rFonts w:eastAsia="Times New Roman" w:cs="Times New Roman"/>
          <w:color w:val="000000"/>
          <w:sz w:val="24"/>
          <w:szCs w:val="24"/>
          <w:lang w:eastAsia="it-IT"/>
        </w:rPr>
        <w:t xml:space="preserve"> hanno richiesto obbl</w:t>
      </w:r>
      <w:r w:rsidR="00ED10AD" w:rsidRPr="00FB3143">
        <w:rPr>
          <w:rFonts w:eastAsia="Times New Roman" w:cs="Times New Roman"/>
          <w:color w:val="000000"/>
          <w:sz w:val="24"/>
          <w:szCs w:val="24"/>
          <w:lang w:eastAsia="it-IT"/>
        </w:rPr>
        <w:t>igatoriamente il deposito nell’</w:t>
      </w:r>
      <w:r w:rsidR="00065524" w:rsidRPr="00FB3143">
        <w:rPr>
          <w:rFonts w:eastAsia="Times New Roman" w:cs="Times New Roman"/>
          <w:color w:val="000000"/>
          <w:sz w:val="24"/>
          <w:szCs w:val="24"/>
          <w:lang w:eastAsia="it-IT"/>
        </w:rPr>
        <w:t>archivio istituzionale</w:t>
      </w:r>
    </w:p>
    <w:p w14:paraId="3D0D517B" w14:textId="57751F7A" w:rsidR="005E32B0" w:rsidRDefault="005B101C" w:rsidP="00897E15">
      <w:pPr>
        <w:spacing w:after="0" w:line="240" w:lineRule="auto"/>
        <w:ind w:left="228" w:firstLine="56"/>
        <w:jc w:val="both"/>
        <w:rPr>
          <w:sz w:val="24"/>
          <w:szCs w:val="24"/>
        </w:rPr>
      </w:pPr>
      <w:r w:rsidRPr="00FB3143">
        <w:rPr>
          <w:sz w:val="24"/>
          <w:szCs w:val="24"/>
        </w:rPr>
        <w:t xml:space="preserve">Consideriamo ora il tipo di </w:t>
      </w:r>
      <w:r w:rsidR="009669D6" w:rsidRPr="00FB3143">
        <w:rPr>
          <w:sz w:val="24"/>
          <w:szCs w:val="24"/>
        </w:rPr>
        <w:t>d</w:t>
      </w:r>
      <w:r w:rsidRPr="00FB3143">
        <w:rPr>
          <w:sz w:val="24"/>
          <w:szCs w:val="24"/>
        </w:rPr>
        <w:t>eposito</w:t>
      </w:r>
      <w:r w:rsidR="00442D8D" w:rsidRPr="00FB3143">
        <w:rPr>
          <w:sz w:val="24"/>
          <w:szCs w:val="24"/>
        </w:rPr>
        <w:t xml:space="preserve"> e la sede del deposito. I</w:t>
      </w:r>
      <w:r w:rsidRPr="00FB3143">
        <w:rPr>
          <w:sz w:val="24"/>
          <w:szCs w:val="24"/>
        </w:rPr>
        <w:t>n tal caso vogliamo distinguere fra deposito obbligatorio</w:t>
      </w:r>
      <w:r w:rsidR="00DC16AE" w:rsidRPr="00FB3143">
        <w:rPr>
          <w:sz w:val="24"/>
          <w:szCs w:val="24"/>
        </w:rPr>
        <w:t xml:space="preserve"> del contributo</w:t>
      </w:r>
      <w:r w:rsidR="00AF7778" w:rsidRPr="00FB3143">
        <w:rPr>
          <w:sz w:val="24"/>
          <w:szCs w:val="24"/>
        </w:rPr>
        <w:t xml:space="preserve"> (</w:t>
      </w:r>
      <w:r w:rsidR="00DC16AE" w:rsidRPr="00FB3143">
        <w:rPr>
          <w:sz w:val="24"/>
          <w:szCs w:val="24"/>
        </w:rPr>
        <w:t>ovviamente si fa riferimento alla versione consentita dall’editore</w:t>
      </w:r>
      <w:r w:rsidR="00AF7778" w:rsidRPr="00FB3143">
        <w:rPr>
          <w:sz w:val="24"/>
          <w:szCs w:val="24"/>
        </w:rPr>
        <w:t>)</w:t>
      </w:r>
      <w:r w:rsidR="00DC16AE" w:rsidRPr="00FB3143">
        <w:rPr>
          <w:sz w:val="24"/>
          <w:szCs w:val="24"/>
        </w:rPr>
        <w:t>,</w:t>
      </w:r>
      <w:r w:rsidRPr="00FB3143">
        <w:rPr>
          <w:sz w:val="24"/>
          <w:szCs w:val="24"/>
        </w:rPr>
        <w:t xml:space="preserve"> o facoltativo</w:t>
      </w:r>
      <w:r w:rsidR="00713ED7" w:rsidRPr="00FB3143">
        <w:rPr>
          <w:sz w:val="24"/>
          <w:szCs w:val="24"/>
        </w:rPr>
        <w:t>,</w:t>
      </w:r>
      <w:r w:rsidRPr="00FB3143">
        <w:rPr>
          <w:sz w:val="24"/>
          <w:szCs w:val="24"/>
        </w:rPr>
        <w:t xml:space="preserve"> evidenziando quando le </w:t>
      </w:r>
      <w:r w:rsidR="00494C0C" w:rsidRPr="00FB3143">
        <w:rPr>
          <w:sz w:val="24"/>
          <w:szCs w:val="24"/>
        </w:rPr>
        <w:t>u</w:t>
      </w:r>
      <w:r w:rsidR="00F76143" w:rsidRPr="00FB3143">
        <w:rPr>
          <w:sz w:val="24"/>
          <w:szCs w:val="24"/>
        </w:rPr>
        <w:t>niversità</w:t>
      </w:r>
      <w:r w:rsidRPr="00FB3143">
        <w:rPr>
          <w:sz w:val="24"/>
          <w:szCs w:val="24"/>
        </w:rPr>
        <w:t xml:space="preserve"> hanno optato per l’obbligatorietà del deposito del contributo</w:t>
      </w:r>
      <w:r w:rsidR="00442D8D" w:rsidRPr="00FB3143">
        <w:rPr>
          <w:sz w:val="24"/>
          <w:szCs w:val="24"/>
        </w:rPr>
        <w:t xml:space="preserve">. Inoltre si vuole verificare la scelta dell’archivio su cui </w:t>
      </w:r>
      <w:r w:rsidR="00AF7778" w:rsidRPr="00FB3143">
        <w:rPr>
          <w:sz w:val="24"/>
          <w:szCs w:val="24"/>
        </w:rPr>
        <w:t xml:space="preserve">è richiesto di </w:t>
      </w:r>
      <w:r w:rsidR="00442D8D" w:rsidRPr="00FB3143">
        <w:rPr>
          <w:sz w:val="24"/>
          <w:szCs w:val="24"/>
        </w:rPr>
        <w:t>depositare il contributo evidenziando quando si è scelto di util</w:t>
      </w:r>
      <w:r w:rsidR="00065524" w:rsidRPr="00FB3143">
        <w:rPr>
          <w:sz w:val="24"/>
          <w:szCs w:val="24"/>
        </w:rPr>
        <w:t xml:space="preserve">izzare l’archivio istituzionale. Si rileva che tutte le </w:t>
      </w:r>
      <w:r w:rsidR="00694976" w:rsidRPr="00FB3143">
        <w:rPr>
          <w:sz w:val="24"/>
          <w:szCs w:val="24"/>
        </w:rPr>
        <w:t>u</w:t>
      </w:r>
      <w:r w:rsidR="00F76143" w:rsidRPr="00FB3143">
        <w:rPr>
          <w:sz w:val="24"/>
          <w:szCs w:val="24"/>
        </w:rPr>
        <w:t>niversità</w:t>
      </w:r>
      <w:r w:rsidR="00065524" w:rsidRPr="00FB3143">
        <w:rPr>
          <w:sz w:val="24"/>
          <w:szCs w:val="24"/>
        </w:rPr>
        <w:t xml:space="preserve"> hanno scelto di rendere il deposito obbligatorio nell’archivio istituzionale. </w:t>
      </w:r>
      <w:r w:rsidR="006D61B0" w:rsidRPr="00FB3143">
        <w:rPr>
          <w:sz w:val="24"/>
          <w:szCs w:val="24"/>
        </w:rPr>
        <w:t xml:space="preserve">Si rileva </w:t>
      </w:r>
      <w:r w:rsidR="00FE106B" w:rsidRPr="00FB3143">
        <w:rPr>
          <w:sz w:val="24"/>
          <w:szCs w:val="24"/>
        </w:rPr>
        <w:t xml:space="preserve">inoltre </w:t>
      </w:r>
      <w:r w:rsidR="006D61B0" w:rsidRPr="00FB3143">
        <w:rPr>
          <w:sz w:val="24"/>
          <w:szCs w:val="24"/>
        </w:rPr>
        <w:t xml:space="preserve">che in alcuni casi </w:t>
      </w:r>
      <w:r w:rsidR="0044284E" w:rsidRPr="00FB3143">
        <w:rPr>
          <w:sz w:val="24"/>
          <w:szCs w:val="24"/>
        </w:rPr>
        <w:t xml:space="preserve">la pubblicazione ad accesso aperto si avvale delle </w:t>
      </w:r>
      <w:proofErr w:type="spellStart"/>
      <w:r w:rsidR="007F59F9" w:rsidRPr="00FB3143">
        <w:rPr>
          <w:i/>
          <w:sz w:val="24"/>
          <w:szCs w:val="24"/>
        </w:rPr>
        <w:t>u</w:t>
      </w:r>
      <w:r w:rsidR="0044284E" w:rsidRPr="00FB3143">
        <w:rPr>
          <w:i/>
          <w:sz w:val="24"/>
          <w:szCs w:val="24"/>
        </w:rPr>
        <w:t>niversity</w:t>
      </w:r>
      <w:proofErr w:type="spellEnd"/>
      <w:r w:rsidR="0044284E" w:rsidRPr="00FB3143">
        <w:rPr>
          <w:i/>
          <w:sz w:val="24"/>
          <w:szCs w:val="24"/>
        </w:rPr>
        <w:t xml:space="preserve"> </w:t>
      </w:r>
      <w:r w:rsidR="007F59F9" w:rsidRPr="00FB3143">
        <w:rPr>
          <w:i/>
          <w:sz w:val="24"/>
          <w:szCs w:val="24"/>
        </w:rPr>
        <w:t>p</w:t>
      </w:r>
      <w:r w:rsidR="0044284E" w:rsidRPr="00FB3143">
        <w:rPr>
          <w:i/>
          <w:sz w:val="24"/>
          <w:szCs w:val="24"/>
        </w:rPr>
        <w:t>ress</w:t>
      </w:r>
      <w:r w:rsidR="00065524" w:rsidRPr="00FB3143">
        <w:rPr>
          <w:sz w:val="24"/>
          <w:szCs w:val="24"/>
        </w:rPr>
        <w:t xml:space="preserve"> (ad esempio nel caso dell’</w:t>
      </w:r>
      <w:r w:rsidR="00F76143" w:rsidRPr="00FB3143">
        <w:rPr>
          <w:sz w:val="24"/>
          <w:szCs w:val="24"/>
        </w:rPr>
        <w:t>Università</w:t>
      </w:r>
      <w:r w:rsidR="00065524" w:rsidRPr="00FB3143">
        <w:rPr>
          <w:sz w:val="24"/>
          <w:szCs w:val="24"/>
        </w:rPr>
        <w:t xml:space="preserve"> di Firenze e in quello dell’</w:t>
      </w:r>
      <w:r w:rsidR="00F76143" w:rsidRPr="00FB3143">
        <w:rPr>
          <w:sz w:val="24"/>
          <w:szCs w:val="24"/>
        </w:rPr>
        <w:t>Università</w:t>
      </w:r>
      <w:r w:rsidR="00065524" w:rsidRPr="00FB3143">
        <w:rPr>
          <w:sz w:val="24"/>
          <w:szCs w:val="24"/>
        </w:rPr>
        <w:t xml:space="preserve"> di Napoli “Federico II”)</w:t>
      </w:r>
      <w:r w:rsidR="0044284E" w:rsidRPr="00FB3143">
        <w:rPr>
          <w:sz w:val="24"/>
          <w:szCs w:val="24"/>
        </w:rPr>
        <w:t>.</w:t>
      </w:r>
    </w:p>
    <w:p w14:paraId="43457CD6" w14:textId="77777777" w:rsidR="00897E15" w:rsidRPr="00FB3143" w:rsidRDefault="00897E15" w:rsidP="00897E15">
      <w:pPr>
        <w:spacing w:after="0" w:line="240" w:lineRule="auto"/>
        <w:ind w:left="228" w:firstLine="56"/>
        <w:jc w:val="both"/>
        <w:rPr>
          <w:sz w:val="24"/>
          <w:szCs w:val="24"/>
        </w:rPr>
      </w:pPr>
    </w:p>
    <w:p w14:paraId="42FBB0CD" w14:textId="3C8E3D7A" w:rsidR="00065524" w:rsidRPr="00FB3143" w:rsidRDefault="00065524" w:rsidP="00897E15">
      <w:pPr>
        <w:pStyle w:val="Paragrafoelenco"/>
        <w:numPr>
          <w:ilvl w:val="0"/>
          <w:numId w:val="29"/>
        </w:numPr>
        <w:spacing w:after="0" w:line="240" w:lineRule="auto"/>
        <w:jc w:val="both"/>
        <w:rPr>
          <w:sz w:val="24"/>
          <w:szCs w:val="24"/>
        </w:rPr>
      </w:pPr>
      <w:r w:rsidRPr="00FB3143">
        <w:rPr>
          <w:sz w:val="24"/>
          <w:szCs w:val="24"/>
        </w:rPr>
        <w:t>DEPOSITO OBBLIGATORIO PER LA VALUTAZIONE INTERNA ED ESTERNA</w:t>
      </w:r>
      <w:r w:rsidR="00897E15">
        <w:rPr>
          <w:sz w:val="24"/>
          <w:szCs w:val="24"/>
        </w:rPr>
        <w:t xml:space="preserve">: più della metà degli </w:t>
      </w:r>
      <w:r w:rsidR="00DC6641" w:rsidRPr="00FB3143">
        <w:rPr>
          <w:sz w:val="24"/>
          <w:szCs w:val="24"/>
        </w:rPr>
        <w:t>Atenei prendono in considerazione ai fini della valutazione interna ed esterna solo</w:t>
      </w:r>
      <w:r w:rsidR="00713ED7" w:rsidRPr="00FB3143">
        <w:rPr>
          <w:sz w:val="24"/>
          <w:szCs w:val="24"/>
        </w:rPr>
        <w:t xml:space="preserve"> ed esclusivamente</w:t>
      </w:r>
      <w:r w:rsidR="00DC6641" w:rsidRPr="00FB3143">
        <w:rPr>
          <w:sz w:val="24"/>
          <w:szCs w:val="24"/>
        </w:rPr>
        <w:t xml:space="preserve"> i contributi che hanno assolto </w:t>
      </w:r>
      <w:r w:rsidR="00A03198" w:rsidRPr="00FB3143">
        <w:rPr>
          <w:sz w:val="24"/>
          <w:szCs w:val="24"/>
        </w:rPr>
        <w:t>a</w:t>
      </w:r>
      <w:r w:rsidR="00DC6641" w:rsidRPr="00FB3143">
        <w:rPr>
          <w:sz w:val="24"/>
          <w:szCs w:val="24"/>
        </w:rPr>
        <w:t>ll’obbligo del deposito</w:t>
      </w:r>
    </w:p>
    <w:p w14:paraId="2C1FF1F9" w14:textId="23FD4E66" w:rsidR="00DC6641" w:rsidRDefault="00F02147" w:rsidP="00897E15">
      <w:pPr>
        <w:spacing w:after="0" w:line="240" w:lineRule="auto"/>
        <w:ind w:left="228"/>
        <w:jc w:val="both"/>
        <w:rPr>
          <w:sz w:val="24"/>
          <w:szCs w:val="24"/>
        </w:rPr>
      </w:pPr>
      <w:r w:rsidRPr="00FB3143">
        <w:rPr>
          <w:sz w:val="24"/>
          <w:szCs w:val="24"/>
        </w:rPr>
        <w:t xml:space="preserve">Poiché tutti i documenti prevedono il deposito obbligatorio ci si chiede </w:t>
      </w:r>
      <w:r w:rsidR="00AF7778" w:rsidRPr="00FB3143">
        <w:rPr>
          <w:sz w:val="24"/>
          <w:szCs w:val="24"/>
        </w:rPr>
        <w:t>cosa le Università abbiano previsto</w:t>
      </w:r>
      <w:r w:rsidRPr="00FB3143">
        <w:rPr>
          <w:sz w:val="24"/>
          <w:szCs w:val="24"/>
        </w:rPr>
        <w:t xml:space="preserve"> nel caso di mancato assolvimento di tale obbligo. </w:t>
      </w:r>
      <w:r w:rsidR="00F130A0" w:rsidRPr="00FB3143">
        <w:rPr>
          <w:sz w:val="24"/>
          <w:szCs w:val="24"/>
        </w:rPr>
        <w:t xml:space="preserve">L’obbligatorietà del deposito è strettamente legata </w:t>
      </w:r>
      <w:r w:rsidR="00713ED7" w:rsidRPr="00FB3143">
        <w:rPr>
          <w:sz w:val="24"/>
          <w:szCs w:val="24"/>
        </w:rPr>
        <w:t>a</w:t>
      </w:r>
      <w:r w:rsidR="00065524" w:rsidRPr="00FB3143">
        <w:rPr>
          <w:sz w:val="24"/>
          <w:szCs w:val="24"/>
        </w:rPr>
        <w:t>gli esercizi di</w:t>
      </w:r>
      <w:r w:rsidR="00AC0290" w:rsidRPr="00FB3143">
        <w:rPr>
          <w:sz w:val="24"/>
          <w:szCs w:val="24"/>
        </w:rPr>
        <w:t xml:space="preserve"> </w:t>
      </w:r>
      <w:r w:rsidRPr="00FB3143">
        <w:rPr>
          <w:sz w:val="24"/>
          <w:szCs w:val="24"/>
        </w:rPr>
        <w:t xml:space="preserve">valutazione interna ed esterna: </w:t>
      </w:r>
      <w:r w:rsidR="00AC0290" w:rsidRPr="00FB3143">
        <w:rPr>
          <w:sz w:val="24"/>
          <w:szCs w:val="24"/>
        </w:rPr>
        <w:t xml:space="preserve">in molti casi </w:t>
      </w:r>
      <w:r w:rsidR="00DC47F8">
        <w:rPr>
          <w:sz w:val="24"/>
          <w:szCs w:val="24"/>
        </w:rPr>
        <w:t xml:space="preserve">(54% del campione) </w:t>
      </w:r>
      <w:r w:rsidR="00AC0290" w:rsidRPr="00FB3143">
        <w:rPr>
          <w:sz w:val="24"/>
          <w:szCs w:val="24"/>
        </w:rPr>
        <w:t>non assolvere all’obbligo di deposito comporta che i contributi non sia</w:t>
      </w:r>
      <w:r w:rsidRPr="00FB3143">
        <w:rPr>
          <w:sz w:val="24"/>
          <w:szCs w:val="24"/>
        </w:rPr>
        <w:t>no</w:t>
      </w:r>
      <w:r w:rsidR="00AC0290" w:rsidRPr="00FB3143">
        <w:rPr>
          <w:sz w:val="24"/>
          <w:szCs w:val="24"/>
        </w:rPr>
        <w:t xml:space="preserve"> presi in considerazione ai fini della valutazione interna ed esterna. La formula ricorrente è</w:t>
      </w:r>
      <w:r w:rsidR="00DC6641" w:rsidRPr="00FB3143">
        <w:rPr>
          <w:sz w:val="24"/>
          <w:szCs w:val="24"/>
        </w:rPr>
        <w:t xml:space="preserve"> quella per cui ai fini della valutazione si</w:t>
      </w:r>
      <w:r w:rsidR="00065524" w:rsidRPr="00FB3143">
        <w:rPr>
          <w:sz w:val="24"/>
          <w:szCs w:val="24"/>
        </w:rPr>
        <w:t xml:space="preserve"> </w:t>
      </w:r>
      <w:r w:rsidR="00DC6641" w:rsidRPr="00FB3143">
        <w:rPr>
          <w:sz w:val="24"/>
          <w:szCs w:val="24"/>
        </w:rPr>
        <w:t>“</w:t>
      </w:r>
      <w:r w:rsidR="00065524" w:rsidRPr="00FB3143">
        <w:rPr>
          <w:sz w:val="24"/>
          <w:szCs w:val="24"/>
        </w:rPr>
        <w:t>prende in considerazione solo ed esclusivamente i Contributi depositati nell’Archivio istituzionale</w:t>
      </w:r>
      <w:r w:rsidR="00DC6641" w:rsidRPr="00FB3143">
        <w:rPr>
          <w:sz w:val="24"/>
          <w:szCs w:val="24"/>
        </w:rPr>
        <w:t xml:space="preserve">”. </w:t>
      </w:r>
      <w:r w:rsidR="00065524" w:rsidRPr="00FB3143">
        <w:rPr>
          <w:sz w:val="24"/>
          <w:szCs w:val="24"/>
        </w:rPr>
        <w:t xml:space="preserve"> </w:t>
      </w:r>
      <w:r w:rsidR="00DC6641" w:rsidRPr="00FB3143">
        <w:rPr>
          <w:sz w:val="24"/>
          <w:szCs w:val="24"/>
        </w:rPr>
        <w:t>In alcuni casi</w:t>
      </w:r>
      <w:r w:rsidR="00DC47F8">
        <w:rPr>
          <w:sz w:val="24"/>
          <w:szCs w:val="24"/>
        </w:rPr>
        <w:t xml:space="preserve"> (46% del campione)</w:t>
      </w:r>
      <w:r w:rsidR="00DC6641" w:rsidRPr="00FB3143">
        <w:rPr>
          <w:sz w:val="24"/>
          <w:szCs w:val="24"/>
        </w:rPr>
        <w:t>, pur essendo il deposito obbligatorio, nessuna “sanzione” è prevista nel caso in cui a tale obbligo non si assolv</w:t>
      </w:r>
      <w:r w:rsidRPr="00FB3143">
        <w:rPr>
          <w:sz w:val="24"/>
          <w:szCs w:val="24"/>
        </w:rPr>
        <w:t>a</w:t>
      </w:r>
      <w:r w:rsidR="006A4579" w:rsidRPr="00FB3143">
        <w:rPr>
          <w:sz w:val="24"/>
          <w:szCs w:val="24"/>
        </w:rPr>
        <w:t xml:space="preserve">. </w:t>
      </w:r>
    </w:p>
    <w:p w14:paraId="47B56A0F" w14:textId="77777777" w:rsidR="00897E15" w:rsidRPr="00FB3143" w:rsidRDefault="00897E15" w:rsidP="00897E15">
      <w:pPr>
        <w:spacing w:after="0" w:line="240" w:lineRule="auto"/>
        <w:ind w:left="228"/>
        <w:jc w:val="both"/>
        <w:rPr>
          <w:sz w:val="24"/>
          <w:szCs w:val="24"/>
        </w:rPr>
      </w:pPr>
    </w:p>
    <w:p w14:paraId="4F9AF2F4" w14:textId="77777777" w:rsidR="004C31B9" w:rsidRPr="00FB3143" w:rsidRDefault="004C31B9" w:rsidP="00897E15">
      <w:pPr>
        <w:pStyle w:val="Paragrafoelenco"/>
        <w:numPr>
          <w:ilvl w:val="0"/>
          <w:numId w:val="29"/>
        </w:numPr>
        <w:spacing w:after="0" w:line="240" w:lineRule="auto"/>
        <w:ind w:left="568" w:hanging="284"/>
        <w:jc w:val="both"/>
        <w:rPr>
          <w:sz w:val="24"/>
          <w:szCs w:val="24"/>
        </w:rPr>
      </w:pPr>
      <w:r w:rsidRPr="00FB3143">
        <w:rPr>
          <w:sz w:val="24"/>
          <w:szCs w:val="24"/>
        </w:rPr>
        <w:t>MOMENTO DI AVVIO DELLA PROCEDURA DI DEPOSITO</w:t>
      </w:r>
      <w:r w:rsidR="000C41C3" w:rsidRPr="00FB3143">
        <w:rPr>
          <w:sz w:val="24"/>
          <w:szCs w:val="24"/>
        </w:rPr>
        <w:t>: in pochi casi non è specificato, in tutti gli altri casi è subordinato all’avere notizia dell’accettazione e/o della pubblicazione del contributo</w:t>
      </w:r>
    </w:p>
    <w:p w14:paraId="45C1BD1D" w14:textId="2AF4F44B" w:rsidR="000C41C3" w:rsidRPr="00FB3143" w:rsidRDefault="004C31B9" w:rsidP="00897E15">
      <w:pPr>
        <w:spacing w:after="0" w:line="240" w:lineRule="auto"/>
        <w:ind w:left="284"/>
        <w:jc w:val="both"/>
        <w:rPr>
          <w:sz w:val="24"/>
          <w:szCs w:val="24"/>
        </w:rPr>
      </w:pPr>
      <w:r w:rsidRPr="00FB3143">
        <w:rPr>
          <w:sz w:val="24"/>
          <w:szCs w:val="24"/>
        </w:rPr>
        <w:t>Quando l’Autore deve avviare la procedura di deposito? In questo caso la scelta degli Atenei è molto più eterogenea. La scelta è ricaduta su: avvio della procedura nel momento in cui si ha l’accettazione del lavoro [A], avvio della procedura nel momento in cui si ha contezza della pubblicazione [P], oppure più in gen</w:t>
      </w:r>
      <w:r w:rsidR="00CA77DD" w:rsidRPr="00FB3143">
        <w:rPr>
          <w:sz w:val="24"/>
          <w:szCs w:val="24"/>
        </w:rPr>
        <w:t>e</w:t>
      </w:r>
      <w:r w:rsidRPr="00FB3143">
        <w:rPr>
          <w:sz w:val="24"/>
          <w:szCs w:val="24"/>
        </w:rPr>
        <w:t>rale si fa riferimento al momento dell’accettazione o della pubblicazione [AP]. Infine in qualche caso si fissano dei periodi precisi, ad esempio entro un tempo massimo rispetto alla data di pubblicazione [RP] o rispetto alla data di accettazione [RA].</w:t>
      </w:r>
      <w:r w:rsidR="000C41C3" w:rsidRPr="00FB3143">
        <w:rPr>
          <w:sz w:val="24"/>
          <w:szCs w:val="24"/>
        </w:rPr>
        <w:t xml:space="preserve"> </w:t>
      </w:r>
      <w:r w:rsidR="000C41C3" w:rsidRPr="00FB3143">
        <w:rPr>
          <w:sz w:val="24"/>
          <w:szCs w:val="24"/>
        </w:rPr>
        <w:lastRenderedPageBreak/>
        <w:t xml:space="preserve">Solo in pochi casi nulla è specificato [NS]. I risultati dell’indagine </w:t>
      </w:r>
      <w:r w:rsidR="006A4579" w:rsidRPr="00FB3143">
        <w:rPr>
          <w:sz w:val="24"/>
          <w:szCs w:val="24"/>
        </w:rPr>
        <w:t>su tale dato sono riportati in f</w:t>
      </w:r>
      <w:r w:rsidR="004802F4" w:rsidRPr="00FB3143">
        <w:rPr>
          <w:sz w:val="24"/>
          <w:szCs w:val="24"/>
        </w:rPr>
        <w:t xml:space="preserve">igura </w:t>
      </w:r>
      <w:r w:rsidR="00DC47F8">
        <w:rPr>
          <w:sz w:val="24"/>
          <w:szCs w:val="24"/>
        </w:rPr>
        <w:t>4</w:t>
      </w:r>
      <w:r w:rsidR="000C41C3" w:rsidRPr="00FB3143">
        <w:rPr>
          <w:sz w:val="24"/>
          <w:szCs w:val="24"/>
        </w:rPr>
        <w:t>.</w:t>
      </w:r>
    </w:p>
    <w:p w14:paraId="3480DA54" w14:textId="2A27C45E" w:rsidR="000C41C3" w:rsidRPr="00FB3143" w:rsidRDefault="00F12263" w:rsidP="00897E15">
      <w:pPr>
        <w:pStyle w:val="Paragrafoelenco"/>
        <w:spacing w:after="0" w:line="240" w:lineRule="auto"/>
        <w:ind w:left="568" w:hanging="284"/>
        <w:jc w:val="center"/>
        <w:rPr>
          <w:sz w:val="24"/>
          <w:szCs w:val="24"/>
        </w:rPr>
      </w:pPr>
      <w:r>
        <w:rPr>
          <w:noProof/>
          <w:sz w:val="24"/>
          <w:szCs w:val="24"/>
          <w:lang w:eastAsia="it-IT"/>
        </w:rPr>
        <w:t>[</w:t>
      </w:r>
      <w:r>
        <w:rPr>
          <w:noProof/>
          <w:sz w:val="24"/>
          <w:szCs w:val="24"/>
          <w:lang w:eastAsia="it-IT"/>
        </w:rPr>
        <w:t>Fig. 4</w:t>
      </w:r>
      <w:r>
        <w:rPr>
          <w:noProof/>
          <w:sz w:val="24"/>
          <w:szCs w:val="24"/>
          <w:lang w:eastAsia="it-IT"/>
        </w:rPr>
        <w:t>.]</w:t>
      </w:r>
    </w:p>
    <w:p w14:paraId="4E44855B" w14:textId="5620D8F6" w:rsidR="00065524" w:rsidRDefault="006A4579" w:rsidP="00897E15">
      <w:pPr>
        <w:spacing w:after="0" w:line="240" w:lineRule="auto"/>
        <w:ind w:left="568" w:hanging="284"/>
        <w:jc w:val="both"/>
      </w:pPr>
      <w:r w:rsidRPr="00DC47F8">
        <w:t>Fig.</w:t>
      </w:r>
      <w:r w:rsidR="00D16085" w:rsidRPr="00DC47F8">
        <w:t xml:space="preserve"> </w:t>
      </w:r>
      <w:r w:rsidR="00DC47F8">
        <w:t>4</w:t>
      </w:r>
      <w:r w:rsidR="00DC47F8" w:rsidRPr="00DC47F8">
        <w:t>.</w:t>
      </w:r>
      <w:r w:rsidR="000C41C3" w:rsidRPr="00DC47F8">
        <w:t xml:space="preserve"> </w:t>
      </w:r>
      <w:r w:rsidR="00F76143" w:rsidRPr="00DC47F8">
        <w:t>Università</w:t>
      </w:r>
      <w:r w:rsidR="000C41C3" w:rsidRPr="00DC47F8">
        <w:t xml:space="preserve"> italiane e momento in cui si richiede di provvedere al deposito.</w:t>
      </w:r>
      <w:r w:rsidR="00074F6B">
        <w:t xml:space="preserve"> Accettazione (A), Pubblicazione (P), Accettazione o Pubblicazione (AP), con ritardo massimo rispetto alla pubblicazione (RP) o all’accettazione (RA).</w:t>
      </w:r>
    </w:p>
    <w:p w14:paraId="7EF6A352" w14:textId="77777777" w:rsidR="00897E15" w:rsidRPr="00DC47F8" w:rsidRDefault="00897E15" w:rsidP="00897E15">
      <w:pPr>
        <w:spacing w:after="0" w:line="240" w:lineRule="auto"/>
        <w:ind w:left="568" w:hanging="284"/>
        <w:jc w:val="both"/>
      </w:pPr>
    </w:p>
    <w:p w14:paraId="35BCE0C8" w14:textId="77777777" w:rsidR="009A338A" w:rsidRPr="00FB3143" w:rsidRDefault="009A338A" w:rsidP="00897E15">
      <w:pPr>
        <w:pStyle w:val="Paragrafoelenco"/>
        <w:numPr>
          <w:ilvl w:val="0"/>
          <w:numId w:val="29"/>
        </w:numPr>
        <w:spacing w:after="0" w:line="240" w:lineRule="auto"/>
        <w:ind w:left="568" w:hanging="284"/>
        <w:rPr>
          <w:sz w:val="24"/>
          <w:szCs w:val="24"/>
        </w:rPr>
      </w:pPr>
      <w:r w:rsidRPr="00FB3143">
        <w:rPr>
          <w:sz w:val="24"/>
          <w:szCs w:val="24"/>
        </w:rPr>
        <w:t>ORGANO POLITICO</w:t>
      </w:r>
      <w:r w:rsidR="00E7146B" w:rsidRPr="00FB3143">
        <w:rPr>
          <w:sz w:val="24"/>
          <w:szCs w:val="24"/>
        </w:rPr>
        <w:t>: di norma viene istituita o prevista una Commissione dedicata</w:t>
      </w:r>
    </w:p>
    <w:p w14:paraId="2A0821A3" w14:textId="56E477ED" w:rsidR="009A338A" w:rsidRDefault="00211ECD" w:rsidP="00897E15">
      <w:pPr>
        <w:spacing w:after="0" w:line="240" w:lineRule="auto"/>
        <w:ind w:left="284" w:firstLine="284"/>
        <w:jc w:val="both"/>
        <w:rPr>
          <w:sz w:val="24"/>
          <w:szCs w:val="24"/>
        </w:rPr>
      </w:pPr>
      <w:r w:rsidRPr="00FB3143">
        <w:rPr>
          <w:sz w:val="24"/>
          <w:szCs w:val="24"/>
        </w:rPr>
        <w:t>Un ulteriore aspetto investigato riguarda l’eventuale costituzione di un organo “politico” con alcuni compiti fra i quali quello di definire le politiche attuative, rivedere e aggiornare la policy, dirimere eventuali controversie interpretative. Di norma</w:t>
      </w:r>
      <w:r w:rsidR="009A338A" w:rsidRPr="00FB3143">
        <w:rPr>
          <w:sz w:val="24"/>
          <w:szCs w:val="24"/>
        </w:rPr>
        <w:t xml:space="preserve"> si istituisce una Commissione d’</w:t>
      </w:r>
      <w:r w:rsidR="008D0242" w:rsidRPr="00FB3143">
        <w:rPr>
          <w:sz w:val="24"/>
          <w:szCs w:val="24"/>
        </w:rPr>
        <w:t>a</w:t>
      </w:r>
      <w:r w:rsidR="009A338A" w:rsidRPr="00FB3143">
        <w:rPr>
          <w:sz w:val="24"/>
          <w:szCs w:val="24"/>
        </w:rPr>
        <w:t>teneo, normalmente presieduta dal Rettore o da un suo delegato, e i cui membri sono stati diversamente individuati</w:t>
      </w:r>
      <w:r w:rsidRPr="00FB3143">
        <w:rPr>
          <w:sz w:val="24"/>
          <w:szCs w:val="24"/>
        </w:rPr>
        <w:t xml:space="preserve"> dai vari Atenei</w:t>
      </w:r>
      <w:r w:rsidR="009A338A" w:rsidRPr="00FB3143">
        <w:rPr>
          <w:sz w:val="24"/>
          <w:szCs w:val="24"/>
        </w:rPr>
        <w:t xml:space="preserve">. Si riscontrano però delle analogie </w:t>
      </w:r>
      <w:r w:rsidR="00DA6955" w:rsidRPr="00FB3143">
        <w:rPr>
          <w:sz w:val="24"/>
          <w:szCs w:val="24"/>
        </w:rPr>
        <w:t>nelle scelte effettuate in merito alla composizione della Commissione</w:t>
      </w:r>
      <w:r w:rsidR="00521011" w:rsidRPr="00FB3143">
        <w:rPr>
          <w:sz w:val="24"/>
          <w:szCs w:val="24"/>
        </w:rPr>
        <w:t>,</w:t>
      </w:r>
      <w:r w:rsidR="00DA6955" w:rsidRPr="00FB3143">
        <w:rPr>
          <w:sz w:val="24"/>
          <w:szCs w:val="24"/>
        </w:rPr>
        <w:t xml:space="preserve"> essendo di norma rappresentati</w:t>
      </w:r>
      <w:r w:rsidR="009A338A" w:rsidRPr="00FB3143">
        <w:rPr>
          <w:sz w:val="24"/>
          <w:szCs w:val="24"/>
        </w:rPr>
        <w:t xml:space="preserve"> docenti delle diverse aree scientifiche disciplinari</w:t>
      </w:r>
      <w:r w:rsidR="00E7146B" w:rsidRPr="00FB3143">
        <w:rPr>
          <w:sz w:val="24"/>
          <w:szCs w:val="24"/>
        </w:rPr>
        <w:t xml:space="preserve"> dell’</w:t>
      </w:r>
      <w:r w:rsidR="008D0242" w:rsidRPr="00FB3143">
        <w:rPr>
          <w:sz w:val="24"/>
          <w:szCs w:val="24"/>
        </w:rPr>
        <w:t>a</w:t>
      </w:r>
      <w:r w:rsidR="00E7146B" w:rsidRPr="00FB3143">
        <w:rPr>
          <w:sz w:val="24"/>
          <w:szCs w:val="24"/>
        </w:rPr>
        <w:t>teneo ed essendo ricompresi soggetti aventi un ruolo negli ambiti Biblioteche, Informatica e Ricerca</w:t>
      </w:r>
      <w:r w:rsidR="000A0C6D" w:rsidRPr="00FB3143">
        <w:rPr>
          <w:sz w:val="24"/>
          <w:szCs w:val="24"/>
        </w:rPr>
        <w:t xml:space="preserve">. Quando non si costituisce un organo dedicato, di norma i compiti vengono attribuiti alle Commissioni ricerca delle </w:t>
      </w:r>
      <w:r w:rsidR="008E04E4" w:rsidRPr="00FB3143">
        <w:rPr>
          <w:sz w:val="24"/>
          <w:szCs w:val="24"/>
        </w:rPr>
        <w:t>u</w:t>
      </w:r>
      <w:r w:rsidR="00F76143" w:rsidRPr="00FB3143">
        <w:rPr>
          <w:sz w:val="24"/>
          <w:szCs w:val="24"/>
        </w:rPr>
        <w:t>niversità</w:t>
      </w:r>
      <w:r w:rsidR="000A0C6D" w:rsidRPr="00FB3143">
        <w:rPr>
          <w:sz w:val="24"/>
          <w:szCs w:val="24"/>
        </w:rPr>
        <w:t xml:space="preserve"> (c’è da rilevare che questa scelta è normalmente operata da quelle </w:t>
      </w:r>
      <w:r w:rsidR="008E04E4" w:rsidRPr="00FB3143">
        <w:rPr>
          <w:sz w:val="24"/>
          <w:szCs w:val="24"/>
        </w:rPr>
        <w:t>u</w:t>
      </w:r>
      <w:r w:rsidR="00F76143" w:rsidRPr="00FB3143">
        <w:rPr>
          <w:sz w:val="24"/>
          <w:szCs w:val="24"/>
        </w:rPr>
        <w:t>niversità</w:t>
      </w:r>
      <w:r w:rsidR="000A0C6D" w:rsidRPr="00FB3143">
        <w:rPr>
          <w:sz w:val="24"/>
          <w:szCs w:val="24"/>
        </w:rPr>
        <w:t xml:space="preserve"> che sono in prima linea sulle questioni dell’OA, ad esempio Torino o Venezia).</w:t>
      </w:r>
      <w:r w:rsidR="007A34CA" w:rsidRPr="00FB3143">
        <w:rPr>
          <w:sz w:val="24"/>
          <w:szCs w:val="24"/>
        </w:rPr>
        <w:t xml:space="preserve"> In altri casi le Commissioni </w:t>
      </w:r>
      <w:r w:rsidR="00DA6955" w:rsidRPr="00FB3143">
        <w:rPr>
          <w:sz w:val="24"/>
          <w:szCs w:val="24"/>
        </w:rPr>
        <w:t xml:space="preserve">non sono state istituite nello stesso documento ma sono state </w:t>
      </w:r>
      <w:r w:rsidR="00521011" w:rsidRPr="00FB3143">
        <w:rPr>
          <w:sz w:val="24"/>
          <w:szCs w:val="24"/>
        </w:rPr>
        <w:t>comunque</w:t>
      </w:r>
      <w:r w:rsidR="00CA77DD" w:rsidRPr="00FB3143">
        <w:rPr>
          <w:sz w:val="24"/>
          <w:szCs w:val="24"/>
        </w:rPr>
        <w:t xml:space="preserve"> </w:t>
      </w:r>
      <w:r w:rsidR="004802F4" w:rsidRPr="00FB3143">
        <w:rPr>
          <w:sz w:val="24"/>
          <w:szCs w:val="24"/>
        </w:rPr>
        <w:t>previste</w:t>
      </w:r>
      <w:r w:rsidR="00973CB1" w:rsidRPr="00FB3143">
        <w:rPr>
          <w:sz w:val="24"/>
          <w:szCs w:val="24"/>
        </w:rPr>
        <w:t>.</w:t>
      </w:r>
      <w:r w:rsidR="00E7146B" w:rsidRPr="00FB3143">
        <w:rPr>
          <w:sz w:val="24"/>
          <w:szCs w:val="24"/>
        </w:rPr>
        <w:t xml:space="preserve"> Infine in un caso è stato prevista la figura di delega</w:t>
      </w:r>
      <w:r w:rsidR="00602702" w:rsidRPr="00FB3143">
        <w:rPr>
          <w:sz w:val="24"/>
          <w:szCs w:val="24"/>
        </w:rPr>
        <w:t>to Rettorale all’OA. Si veda f</w:t>
      </w:r>
      <w:r w:rsidR="00D16085" w:rsidRPr="00FB3143">
        <w:rPr>
          <w:sz w:val="24"/>
          <w:szCs w:val="24"/>
        </w:rPr>
        <w:t xml:space="preserve">igura </w:t>
      </w:r>
      <w:r w:rsidR="00F12263">
        <w:rPr>
          <w:sz w:val="24"/>
          <w:szCs w:val="24"/>
        </w:rPr>
        <w:t>5</w:t>
      </w:r>
      <w:r w:rsidR="00E7146B" w:rsidRPr="00FB3143">
        <w:rPr>
          <w:sz w:val="24"/>
          <w:szCs w:val="24"/>
        </w:rPr>
        <w:t>.</w:t>
      </w:r>
    </w:p>
    <w:p w14:paraId="15D991BF" w14:textId="77777777" w:rsidR="00897E15" w:rsidRPr="00FB3143" w:rsidRDefault="00897E15" w:rsidP="00897E15">
      <w:pPr>
        <w:spacing w:after="0" w:line="240" w:lineRule="auto"/>
        <w:ind w:left="284" w:firstLine="284"/>
        <w:jc w:val="both"/>
        <w:rPr>
          <w:sz w:val="24"/>
          <w:szCs w:val="24"/>
        </w:rPr>
      </w:pPr>
    </w:p>
    <w:p w14:paraId="14FF40E9" w14:textId="46E9A6FB" w:rsidR="00E7146B" w:rsidRPr="00FB3143" w:rsidRDefault="00F12263" w:rsidP="00897E15">
      <w:pPr>
        <w:pStyle w:val="Paragrafoelenco"/>
        <w:spacing w:after="0" w:line="240" w:lineRule="auto"/>
        <w:ind w:left="568" w:hanging="284"/>
        <w:jc w:val="center"/>
        <w:rPr>
          <w:sz w:val="24"/>
          <w:szCs w:val="24"/>
        </w:rPr>
      </w:pPr>
      <w:r>
        <w:rPr>
          <w:noProof/>
          <w:sz w:val="24"/>
          <w:szCs w:val="24"/>
          <w:lang w:eastAsia="it-IT"/>
        </w:rPr>
        <w:t>[</w:t>
      </w:r>
      <w:r>
        <w:rPr>
          <w:noProof/>
          <w:sz w:val="24"/>
          <w:szCs w:val="24"/>
          <w:lang w:eastAsia="it-IT"/>
        </w:rPr>
        <w:t>Fig. 5</w:t>
      </w:r>
      <w:r>
        <w:rPr>
          <w:noProof/>
          <w:sz w:val="24"/>
          <w:szCs w:val="24"/>
          <w:lang w:eastAsia="it-IT"/>
        </w:rPr>
        <w:t>.]</w:t>
      </w:r>
    </w:p>
    <w:p w14:paraId="1F69E431" w14:textId="56B90D46" w:rsidR="00E7146B" w:rsidRDefault="00BB72A9" w:rsidP="00897E15">
      <w:pPr>
        <w:spacing w:after="0" w:line="240" w:lineRule="auto"/>
        <w:ind w:left="568" w:hanging="284"/>
        <w:jc w:val="both"/>
      </w:pPr>
      <w:r w:rsidRPr="00F12263">
        <w:t>Fig.</w:t>
      </w:r>
      <w:r w:rsidR="00D16085" w:rsidRPr="00F12263">
        <w:t xml:space="preserve"> </w:t>
      </w:r>
      <w:r w:rsidR="00F12263" w:rsidRPr="00F12263">
        <w:t>5.</w:t>
      </w:r>
      <w:r w:rsidR="00E7146B" w:rsidRPr="00F12263">
        <w:t xml:space="preserve"> </w:t>
      </w:r>
      <w:r w:rsidR="00F76143" w:rsidRPr="00F12263">
        <w:t>Università</w:t>
      </w:r>
      <w:r w:rsidR="00E7146B" w:rsidRPr="00F12263">
        <w:t xml:space="preserve"> italiane e previsione di organi politici in materia di OA Commissione</w:t>
      </w:r>
      <w:r w:rsidR="00AF7778" w:rsidRPr="00F12263">
        <w:t xml:space="preserve"> (C)</w:t>
      </w:r>
      <w:r w:rsidR="00E7146B" w:rsidRPr="00F12263">
        <w:t>, Organo previsto ma non istituito immediatamente</w:t>
      </w:r>
      <w:r w:rsidR="00AF7778" w:rsidRPr="00F12263">
        <w:t xml:space="preserve"> (P)</w:t>
      </w:r>
      <w:r w:rsidR="00E7146B" w:rsidRPr="00F12263">
        <w:t>, Delegato all’OA</w:t>
      </w:r>
      <w:r w:rsidR="00AF7778" w:rsidRPr="00F12263">
        <w:t xml:space="preserve"> (D)</w:t>
      </w:r>
      <w:r w:rsidR="00E7146B" w:rsidRPr="00F12263">
        <w:t>, Non Specificato</w:t>
      </w:r>
      <w:r w:rsidR="00AF7778" w:rsidRPr="00F12263">
        <w:t xml:space="preserve"> (NS)</w:t>
      </w:r>
    </w:p>
    <w:p w14:paraId="143F1BD0" w14:textId="77777777" w:rsidR="00897E15" w:rsidRPr="00F12263" w:rsidRDefault="00897E15" w:rsidP="00897E15">
      <w:pPr>
        <w:spacing w:after="0" w:line="240" w:lineRule="auto"/>
        <w:ind w:left="568" w:hanging="284"/>
        <w:jc w:val="both"/>
      </w:pPr>
    </w:p>
    <w:p w14:paraId="3C63F275" w14:textId="77777777" w:rsidR="009A338A" w:rsidRPr="00FB3143" w:rsidRDefault="009A338A" w:rsidP="00897E15">
      <w:pPr>
        <w:pStyle w:val="Paragrafoelenco"/>
        <w:numPr>
          <w:ilvl w:val="0"/>
          <w:numId w:val="29"/>
        </w:numPr>
        <w:spacing w:after="0" w:line="240" w:lineRule="auto"/>
        <w:ind w:left="568" w:hanging="284"/>
        <w:rPr>
          <w:sz w:val="24"/>
          <w:szCs w:val="24"/>
        </w:rPr>
      </w:pPr>
      <w:r w:rsidRPr="00FB3143">
        <w:rPr>
          <w:sz w:val="24"/>
          <w:szCs w:val="24"/>
        </w:rPr>
        <w:t>ORGANO TECNICO</w:t>
      </w:r>
      <w:r w:rsidR="00BC141B" w:rsidRPr="00FB3143">
        <w:rPr>
          <w:sz w:val="24"/>
          <w:szCs w:val="24"/>
        </w:rPr>
        <w:t xml:space="preserve">: nella maggior parte dei casi è previsto un gruppo di lavoro tecnico </w:t>
      </w:r>
    </w:p>
    <w:p w14:paraId="6159575B" w14:textId="321B665C" w:rsidR="007A34CA" w:rsidRPr="00FB3143" w:rsidRDefault="00907747" w:rsidP="00897E15">
      <w:pPr>
        <w:spacing w:after="0" w:line="240" w:lineRule="auto"/>
        <w:ind w:left="284" w:firstLine="284"/>
        <w:jc w:val="both"/>
        <w:rPr>
          <w:sz w:val="24"/>
          <w:szCs w:val="24"/>
        </w:rPr>
      </w:pPr>
      <w:r w:rsidRPr="00FB3143">
        <w:rPr>
          <w:sz w:val="24"/>
          <w:szCs w:val="24"/>
        </w:rPr>
        <w:t>Normalmente si istituisce un gruppo di lavoro</w:t>
      </w:r>
      <w:r w:rsidR="00185ABF" w:rsidRPr="00FB3143">
        <w:rPr>
          <w:sz w:val="24"/>
          <w:szCs w:val="24"/>
        </w:rPr>
        <w:t xml:space="preserve"> costituito da personale bibliotecario</w:t>
      </w:r>
      <w:r w:rsidR="00C12551" w:rsidRPr="00FB3143">
        <w:rPr>
          <w:sz w:val="24"/>
          <w:szCs w:val="24"/>
        </w:rPr>
        <w:t xml:space="preserve"> (di norma i bibliotecari referenti delle singole biblioteche)</w:t>
      </w:r>
      <w:r w:rsidR="00185ABF" w:rsidRPr="00FB3143">
        <w:rPr>
          <w:sz w:val="24"/>
          <w:szCs w:val="24"/>
        </w:rPr>
        <w:t xml:space="preserve">, informatico e </w:t>
      </w:r>
      <w:r w:rsidR="00CA77DD" w:rsidRPr="00FB3143">
        <w:rPr>
          <w:sz w:val="24"/>
          <w:szCs w:val="24"/>
        </w:rPr>
        <w:t>de</w:t>
      </w:r>
      <w:r w:rsidR="00391972" w:rsidRPr="00FB3143">
        <w:rPr>
          <w:sz w:val="24"/>
          <w:szCs w:val="24"/>
        </w:rPr>
        <w:t xml:space="preserve">gli </w:t>
      </w:r>
      <w:r w:rsidR="00185ABF" w:rsidRPr="00FB3143">
        <w:rPr>
          <w:sz w:val="24"/>
          <w:szCs w:val="24"/>
        </w:rPr>
        <w:t>uffici ricerca</w:t>
      </w:r>
      <w:r w:rsidR="00391972" w:rsidRPr="00FB3143">
        <w:rPr>
          <w:sz w:val="24"/>
          <w:szCs w:val="24"/>
        </w:rPr>
        <w:t>; a volte</w:t>
      </w:r>
      <w:r w:rsidR="0044284E" w:rsidRPr="00FB3143">
        <w:rPr>
          <w:sz w:val="24"/>
          <w:szCs w:val="24"/>
        </w:rPr>
        <w:t xml:space="preserve"> partecipano anche soggetti del</w:t>
      </w:r>
      <w:r w:rsidR="00391972" w:rsidRPr="00FB3143">
        <w:rPr>
          <w:sz w:val="24"/>
          <w:szCs w:val="24"/>
        </w:rPr>
        <w:t>l’ufficio legale</w:t>
      </w:r>
      <w:r w:rsidR="00185ABF" w:rsidRPr="00FB3143">
        <w:rPr>
          <w:sz w:val="24"/>
          <w:szCs w:val="24"/>
        </w:rPr>
        <w:t>.</w:t>
      </w:r>
      <w:r w:rsidR="00391972" w:rsidRPr="00FB3143">
        <w:rPr>
          <w:sz w:val="24"/>
          <w:szCs w:val="24"/>
        </w:rPr>
        <w:t xml:space="preserve"> L’organo tecnico ha un ruolo di monitoraggio, supporto in fase di inserimento, verifica dello stato dei diritti d’autore,</w:t>
      </w:r>
      <w:r w:rsidR="007A34CA" w:rsidRPr="00FB3143">
        <w:rPr>
          <w:sz w:val="24"/>
          <w:szCs w:val="24"/>
        </w:rPr>
        <w:t xml:space="preserve"> </w:t>
      </w:r>
      <w:r w:rsidR="003F5AF2" w:rsidRPr="00FB3143">
        <w:rPr>
          <w:sz w:val="24"/>
          <w:szCs w:val="24"/>
        </w:rPr>
        <w:t xml:space="preserve">assistenza </w:t>
      </w:r>
      <w:r w:rsidR="0095530C" w:rsidRPr="00FB3143">
        <w:rPr>
          <w:sz w:val="24"/>
          <w:szCs w:val="24"/>
        </w:rPr>
        <w:t xml:space="preserve">agli autori </w:t>
      </w:r>
      <w:r w:rsidR="003F5AF2" w:rsidRPr="00FB3143">
        <w:rPr>
          <w:sz w:val="24"/>
          <w:szCs w:val="24"/>
        </w:rPr>
        <w:t xml:space="preserve">nelle fasi di deposito. </w:t>
      </w:r>
      <w:r w:rsidR="00391972" w:rsidRPr="00FB3143">
        <w:rPr>
          <w:sz w:val="24"/>
          <w:szCs w:val="24"/>
        </w:rPr>
        <w:t>In qualche caso invece di gruppo di lavoro [G] si parla di staff di supporto [S] e quando invece tali organi non sono espressamente istituiti essi sono comunque previsti</w:t>
      </w:r>
      <w:r w:rsidR="007A34CA" w:rsidRPr="00FB3143">
        <w:rPr>
          <w:sz w:val="24"/>
          <w:szCs w:val="24"/>
        </w:rPr>
        <w:t xml:space="preserve"> [P].</w:t>
      </w:r>
      <w:r w:rsidR="00973CB1" w:rsidRPr="00FB3143">
        <w:rPr>
          <w:sz w:val="24"/>
          <w:szCs w:val="24"/>
        </w:rPr>
        <w:t xml:space="preserve"> </w:t>
      </w:r>
      <w:r w:rsidR="002C6F50" w:rsidRPr="00FB3143">
        <w:rPr>
          <w:sz w:val="24"/>
          <w:szCs w:val="24"/>
        </w:rPr>
        <w:t>Si veda f</w:t>
      </w:r>
      <w:r w:rsidR="00D16085" w:rsidRPr="00FB3143">
        <w:rPr>
          <w:sz w:val="24"/>
          <w:szCs w:val="24"/>
        </w:rPr>
        <w:t xml:space="preserve">igura </w:t>
      </w:r>
      <w:r w:rsidR="00F12263">
        <w:rPr>
          <w:sz w:val="24"/>
          <w:szCs w:val="24"/>
        </w:rPr>
        <w:t>6</w:t>
      </w:r>
      <w:r w:rsidR="003F5AF2" w:rsidRPr="00FB3143">
        <w:rPr>
          <w:sz w:val="24"/>
          <w:szCs w:val="24"/>
        </w:rPr>
        <w:t>.</w:t>
      </w:r>
    </w:p>
    <w:p w14:paraId="0CB7C553" w14:textId="60D40587" w:rsidR="00F12263" w:rsidRPr="00FB3143" w:rsidRDefault="00F12263" w:rsidP="00F12263">
      <w:pPr>
        <w:pStyle w:val="Paragrafoelenco"/>
        <w:spacing w:line="240" w:lineRule="auto"/>
        <w:ind w:left="568" w:hanging="284"/>
        <w:jc w:val="center"/>
        <w:rPr>
          <w:sz w:val="24"/>
          <w:szCs w:val="24"/>
        </w:rPr>
      </w:pPr>
      <w:r>
        <w:rPr>
          <w:noProof/>
          <w:sz w:val="24"/>
          <w:szCs w:val="24"/>
          <w:lang w:eastAsia="it-IT"/>
        </w:rPr>
        <w:t>[</w:t>
      </w:r>
      <w:r>
        <w:rPr>
          <w:noProof/>
          <w:sz w:val="24"/>
          <w:szCs w:val="24"/>
          <w:lang w:eastAsia="it-IT"/>
        </w:rPr>
        <w:t>Fig. 6</w:t>
      </w:r>
      <w:r>
        <w:rPr>
          <w:noProof/>
          <w:sz w:val="24"/>
          <w:szCs w:val="24"/>
          <w:lang w:eastAsia="it-IT"/>
        </w:rPr>
        <w:t>.]</w:t>
      </w:r>
    </w:p>
    <w:p w14:paraId="326543E5" w14:textId="1E123638" w:rsidR="003F5AF2" w:rsidRPr="00F12263" w:rsidRDefault="002C6F50" w:rsidP="002C6F50">
      <w:pPr>
        <w:spacing w:line="240" w:lineRule="auto"/>
        <w:ind w:left="568" w:hanging="284"/>
        <w:jc w:val="both"/>
      </w:pPr>
      <w:r w:rsidRPr="00F12263">
        <w:t>Fig.</w:t>
      </w:r>
      <w:r w:rsidR="00D16085" w:rsidRPr="00F12263">
        <w:t xml:space="preserve"> </w:t>
      </w:r>
      <w:r w:rsidR="00F12263" w:rsidRPr="00F12263">
        <w:t>6.</w:t>
      </w:r>
      <w:r w:rsidR="003F5AF2" w:rsidRPr="00F12263">
        <w:t xml:space="preserve"> </w:t>
      </w:r>
      <w:r w:rsidR="00F76143" w:rsidRPr="00F12263">
        <w:t>Università</w:t>
      </w:r>
      <w:r w:rsidR="003F5AF2" w:rsidRPr="00F12263">
        <w:t xml:space="preserve"> italiane e previsione di organi </w:t>
      </w:r>
      <w:r w:rsidR="00CA77DD" w:rsidRPr="00F12263">
        <w:t>tecnici</w:t>
      </w:r>
      <w:r w:rsidR="003F5AF2" w:rsidRPr="00F12263">
        <w:t xml:space="preserve"> in materia di OA </w:t>
      </w:r>
    </w:p>
    <w:p w14:paraId="28B5F1F4" w14:textId="77777777" w:rsidR="007940F3" w:rsidRPr="00FB3143" w:rsidRDefault="007940F3" w:rsidP="00A22A6F">
      <w:pPr>
        <w:spacing w:line="240" w:lineRule="auto"/>
        <w:ind w:left="568" w:hanging="284"/>
        <w:rPr>
          <w:i/>
          <w:sz w:val="24"/>
          <w:szCs w:val="24"/>
        </w:rPr>
      </w:pPr>
    </w:p>
    <w:p w14:paraId="670FE798" w14:textId="7E3B49D4" w:rsidR="004A0706" w:rsidRDefault="00D16085" w:rsidP="004A0706">
      <w:pPr>
        <w:spacing w:line="240" w:lineRule="auto"/>
        <w:ind w:left="568" w:hanging="284"/>
        <w:rPr>
          <w:i/>
          <w:sz w:val="24"/>
          <w:szCs w:val="24"/>
        </w:rPr>
      </w:pPr>
      <w:r w:rsidRPr="00FB3143">
        <w:rPr>
          <w:sz w:val="24"/>
          <w:szCs w:val="24"/>
        </w:rPr>
        <w:t xml:space="preserve"> </w:t>
      </w:r>
      <w:r w:rsidR="004A0706" w:rsidRPr="00FB3143">
        <w:rPr>
          <w:i/>
          <w:sz w:val="24"/>
          <w:szCs w:val="24"/>
        </w:rPr>
        <w:t>Riferimenti bibliografici/</w:t>
      </w:r>
      <w:proofErr w:type="spellStart"/>
      <w:r w:rsidR="004A0706" w:rsidRPr="00FB3143">
        <w:rPr>
          <w:i/>
          <w:sz w:val="24"/>
          <w:szCs w:val="24"/>
        </w:rPr>
        <w:t>References</w:t>
      </w:r>
      <w:proofErr w:type="spellEnd"/>
    </w:p>
    <w:p w14:paraId="00643D7F" w14:textId="77777777" w:rsidR="00E95494" w:rsidRDefault="00E95494" w:rsidP="004A0706">
      <w:pPr>
        <w:spacing w:after="0" w:line="240" w:lineRule="auto"/>
        <w:jc w:val="both"/>
        <w:rPr>
          <w:sz w:val="24"/>
          <w:szCs w:val="24"/>
        </w:rPr>
      </w:pPr>
      <w:r>
        <w:rPr>
          <w:sz w:val="24"/>
          <w:szCs w:val="24"/>
        </w:rPr>
        <w:t>AISA &lt;</w:t>
      </w:r>
      <w:r w:rsidRPr="00E95494">
        <w:rPr>
          <w:sz w:val="24"/>
          <w:szCs w:val="24"/>
        </w:rPr>
        <w:t>http://aisa.sp.unipi.it/chi-siamo/</w:t>
      </w:r>
      <w:r>
        <w:rPr>
          <w:sz w:val="24"/>
          <w:szCs w:val="24"/>
        </w:rPr>
        <w:t>&gt;, 21.03.2018.</w:t>
      </w:r>
    </w:p>
    <w:p w14:paraId="50CA0B60" w14:textId="77777777" w:rsidR="00B645A7" w:rsidRDefault="004A0706" w:rsidP="00B645A7">
      <w:pPr>
        <w:spacing w:after="0" w:line="240" w:lineRule="auto"/>
        <w:jc w:val="both"/>
        <w:rPr>
          <w:i/>
          <w:sz w:val="24"/>
          <w:szCs w:val="24"/>
        </w:rPr>
      </w:pPr>
      <w:r w:rsidRPr="00FB3143">
        <w:rPr>
          <w:sz w:val="24"/>
          <w:szCs w:val="24"/>
        </w:rPr>
        <w:t>ANVUR (2011</w:t>
      </w:r>
      <w:r w:rsidR="004C4209" w:rsidRPr="00FB3143">
        <w:rPr>
          <w:sz w:val="24"/>
          <w:szCs w:val="24"/>
        </w:rPr>
        <w:t>a</w:t>
      </w:r>
      <w:r w:rsidRPr="00FB3143">
        <w:rPr>
          <w:sz w:val="24"/>
          <w:szCs w:val="24"/>
        </w:rPr>
        <w:t xml:space="preserve">), </w:t>
      </w:r>
      <w:r w:rsidRPr="00FB3143">
        <w:rPr>
          <w:i/>
          <w:sz w:val="24"/>
          <w:szCs w:val="24"/>
        </w:rPr>
        <w:t xml:space="preserve">Bando di partecipazione, </w:t>
      </w:r>
    </w:p>
    <w:p w14:paraId="683496C5" w14:textId="5D779CDF" w:rsidR="004A0706" w:rsidRPr="00FB3143" w:rsidRDefault="004A0706" w:rsidP="00B645A7">
      <w:pPr>
        <w:spacing w:after="0" w:line="240" w:lineRule="auto"/>
        <w:ind w:firstLine="708"/>
        <w:jc w:val="both"/>
        <w:rPr>
          <w:sz w:val="24"/>
          <w:szCs w:val="24"/>
        </w:rPr>
      </w:pPr>
      <w:r w:rsidRPr="00FB3143">
        <w:rPr>
          <w:sz w:val="24"/>
          <w:szCs w:val="24"/>
        </w:rPr>
        <w:t>&lt;http://www.anvur.org/attachments/article/122/bando_vqr_def_07_11.pdf&gt;, 21.03.2018.</w:t>
      </w:r>
    </w:p>
    <w:p w14:paraId="797E27B6" w14:textId="77777777" w:rsidR="00B645A7" w:rsidRDefault="004A0706" w:rsidP="004A0706">
      <w:pPr>
        <w:spacing w:after="0" w:line="240" w:lineRule="auto"/>
        <w:jc w:val="both"/>
        <w:rPr>
          <w:i/>
          <w:sz w:val="24"/>
          <w:szCs w:val="24"/>
        </w:rPr>
      </w:pPr>
      <w:r w:rsidRPr="00FB3143">
        <w:rPr>
          <w:sz w:val="24"/>
          <w:szCs w:val="24"/>
        </w:rPr>
        <w:t>ANVUR (2015</w:t>
      </w:r>
      <w:r w:rsidR="004C4209" w:rsidRPr="00FB3143">
        <w:rPr>
          <w:sz w:val="24"/>
          <w:szCs w:val="24"/>
        </w:rPr>
        <w:t>b</w:t>
      </w:r>
      <w:r w:rsidRPr="00FB3143">
        <w:rPr>
          <w:sz w:val="24"/>
          <w:szCs w:val="24"/>
        </w:rPr>
        <w:t xml:space="preserve">), </w:t>
      </w:r>
      <w:r w:rsidRPr="00FB3143">
        <w:rPr>
          <w:i/>
          <w:sz w:val="24"/>
          <w:szCs w:val="24"/>
        </w:rPr>
        <w:t xml:space="preserve">Bando di partecipazione, </w:t>
      </w:r>
    </w:p>
    <w:p w14:paraId="5603BE04" w14:textId="4D380755" w:rsidR="004A0706" w:rsidRPr="00FB3143" w:rsidRDefault="004A0706" w:rsidP="00B645A7">
      <w:pPr>
        <w:spacing w:after="0" w:line="240" w:lineRule="auto"/>
        <w:ind w:left="708"/>
        <w:jc w:val="both"/>
        <w:rPr>
          <w:sz w:val="24"/>
          <w:szCs w:val="24"/>
        </w:rPr>
      </w:pPr>
      <w:r w:rsidRPr="00FB3143">
        <w:rPr>
          <w:sz w:val="24"/>
          <w:szCs w:val="24"/>
        </w:rPr>
        <w:t>&lt;http://www.anvur.org/attachments/article/825/Bando%20VQR%202011-2014_secon~.pdf&gt;, 21.03.2018.</w:t>
      </w:r>
    </w:p>
    <w:p w14:paraId="7CCCFDB5" w14:textId="6852B3B2" w:rsidR="006B1D4C" w:rsidRPr="00FB3143" w:rsidRDefault="006B1D4C" w:rsidP="004A0706">
      <w:pPr>
        <w:spacing w:after="0" w:line="240" w:lineRule="auto"/>
        <w:jc w:val="both"/>
        <w:rPr>
          <w:sz w:val="24"/>
          <w:szCs w:val="24"/>
        </w:rPr>
      </w:pPr>
      <w:r w:rsidRPr="00FB3143">
        <w:rPr>
          <w:sz w:val="24"/>
          <w:szCs w:val="24"/>
        </w:rPr>
        <w:t xml:space="preserve">Aliprandi S. (2005), </w:t>
      </w:r>
      <w:proofErr w:type="spellStart"/>
      <w:r w:rsidRPr="00FB3143">
        <w:rPr>
          <w:i/>
          <w:sz w:val="24"/>
          <w:szCs w:val="24"/>
        </w:rPr>
        <w:t>Copyleft</w:t>
      </w:r>
      <w:proofErr w:type="spellEnd"/>
      <w:r w:rsidRPr="00FB3143">
        <w:rPr>
          <w:i/>
          <w:sz w:val="24"/>
          <w:szCs w:val="24"/>
        </w:rPr>
        <w:t xml:space="preserve"> &amp; </w:t>
      </w:r>
      <w:proofErr w:type="spellStart"/>
      <w:proofErr w:type="gramStart"/>
      <w:r w:rsidRPr="00FB3143">
        <w:rPr>
          <w:i/>
          <w:sz w:val="24"/>
          <w:szCs w:val="24"/>
        </w:rPr>
        <w:t>opencontent</w:t>
      </w:r>
      <w:proofErr w:type="spellEnd"/>
      <w:r w:rsidR="003C2F68" w:rsidRPr="00FB3143">
        <w:rPr>
          <w:i/>
          <w:sz w:val="24"/>
          <w:szCs w:val="24"/>
        </w:rPr>
        <w:t xml:space="preserve"> :</w:t>
      </w:r>
      <w:proofErr w:type="gramEnd"/>
      <w:r w:rsidR="003C2F68" w:rsidRPr="00FB3143">
        <w:rPr>
          <w:i/>
          <w:sz w:val="24"/>
          <w:szCs w:val="24"/>
        </w:rPr>
        <w:t xml:space="preserve"> </w:t>
      </w:r>
      <w:r w:rsidRPr="00FB3143">
        <w:rPr>
          <w:i/>
          <w:sz w:val="24"/>
          <w:szCs w:val="24"/>
        </w:rPr>
        <w:t xml:space="preserve">l'altra faccia del copyright, </w:t>
      </w:r>
      <w:r w:rsidRPr="00FB3143">
        <w:rPr>
          <w:sz w:val="24"/>
          <w:szCs w:val="24"/>
        </w:rPr>
        <w:t xml:space="preserve">Lodi: </w:t>
      </w:r>
      <w:proofErr w:type="spellStart"/>
      <w:r w:rsidRPr="00FB3143">
        <w:rPr>
          <w:sz w:val="24"/>
          <w:szCs w:val="24"/>
        </w:rPr>
        <w:t>PrimaOra</w:t>
      </w:r>
      <w:proofErr w:type="spellEnd"/>
      <w:r w:rsidR="007055BE" w:rsidRPr="00FB3143">
        <w:rPr>
          <w:sz w:val="24"/>
          <w:szCs w:val="24"/>
        </w:rPr>
        <w:t>.</w:t>
      </w:r>
    </w:p>
    <w:p w14:paraId="0F0AF5C0" w14:textId="77777777" w:rsidR="00B645A7" w:rsidRDefault="004A0706" w:rsidP="004A0706">
      <w:pPr>
        <w:pStyle w:val="Testonotaapidipagina"/>
        <w:jc w:val="both"/>
        <w:rPr>
          <w:sz w:val="24"/>
          <w:szCs w:val="24"/>
          <w:lang w:val="en-GB"/>
        </w:rPr>
      </w:pPr>
      <w:r w:rsidRPr="00FB3143">
        <w:rPr>
          <w:i/>
          <w:sz w:val="24"/>
          <w:szCs w:val="24"/>
          <w:lang w:val="en-GB"/>
        </w:rPr>
        <w:t xml:space="preserve">Berlin Declaration on </w:t>
      </w:r>
      <w:r w:rsidRPr="00FB3143">
        <w:rPr>
          <w:sz w:val="24"/>
          <w:szCs w:val="24"/>
          <w:lang w:val="en-GB"/>
        </w:rPr>
        <w:t>Open Access</w:t>
      </w:r>
      <w:r w:rsidRPr="00FB3143">
        <w:rPr>
          <w:i/>
          <w:sz w:val="24"/>
          <w:szCs w:val="24"/>
          <w:lang w:val="en-GB"/>
        </w:rPr>
        <w:t xml:space="preserve"> to Knowledge in the Sciences and Humanities</w:t>
      </w:r>
      <w:r w:rsidRPr="00FB3143">
        <w:rPr>
          <w:sz w:val="24"/>
          <w:szCs w:val="24"/>
          <w:lang w:val="en-GB"/>
        </w:rPr>
        <w:t xml:space="preserve">, </w:t>
      </w:r>
    </w:p>
    <w:p w14:paraId="03233BE0" w14:textId="77C6572B" w:rsidR="004A0706" w:rsidRPr="00FB3143" w:rsidRDefault="004A0706" w:rsidP="00B645A7">
      <w:pPr>
        <w:pStyle w:val="Testonotaapidipagina"/>
        <w:ind w:firstLine="708"/>
        <w:jc w:val="both"/>
        <w:rPr>
          <w:sz w:val="24"/>
          <w:szCs w:val="24"/>
          <w:lang w:val="en-GB"/>
        </w:rPr>
      </w:pPr>
      <w:r w:rsidRPr="00FB3143">
        <w:rPr>
          <w:sz w:val="24"/>
          <w:szCs w:val="24"/>
          <w:lang w:val="en-GB"/>
        </w:rPr>
        <w:lastRenderedPageBreak/>
        <w:t>&lt;https://openaccess.mpg.de/67682/BerlinDeclaration_it.pdf&gt;, 19.03.2018.</w:t>
      </w:r>
    </w:p>
    <w:p w14:paraId="302BDE83" w14:textId="77777777" w:rsidR="00B645A7" w:rsidRDefault="004A0706" w:rsidP="004A0706">
      <w:pPr>
        <w:pStyle w:val="Testonotaapidipagina"/>
        <w:jc w:val="both"/>
        <w:rPr>
          <w:rFonts w:cstheme="minorHAnsi"/>
          <w:sz w:val="24"/>
          <w:szCs w:val="24"/>
          <w:lang w:val="en-GB"/>
        </w:rPr>
      </w:pPr>
      <w:r w:rsidRPr="00FB3143">
        <w:rPr>
          <w:rFonts w:cstheme="minorHAnsi"/>
          <w:sz w:val="24"/>
          <w:szCs w:val="24"/>
          <w:lang w:val="en-GB"/>
        </w:rPr>
        <w:t xml:space="preserve">Bethesda Statement on Open Access Publishing, </w:t>
      </w:r>
    </w:p>
    <w:p w14:paraId="59A548D7" w14:textId="1F60CC30" w:rsidR="004A0706" w:rsidRPr="00FB3143" w:rsidRDefault="004A0706" w:rsidP="00B645A7">
      <w:pPr>
        <w:pStyle w:val="Testonotaapidipagina"/>
        <w:ind w:firstLine="708"/>
        <w:jc w:val="both"/>
        <w:rPr>
          <w:rFonts w:cstheme="minorHAnsi"/>
          <w:sz w:val="24"/>
          <w:szCs w:val="24"/>
          <w:lang w:val="en-GB"/>
        </w:rPr>
      </w:pPr>
      <w:r w:rsidRPr="00FB3143">
        <w:rPr>
          <w:rFonts w:cstheme="minorHAnsi"/>
          <w:sz w:val="24"/>
          <w:szCs w:val="24"/>
          <w:lang w:val="en-GB"/>
        </w:rPr>
        <w:t>&lt;http://legacy.earlham.edu/~peters/fos/bethesda.htm&gt;, 19.03.2018.</w:t>
      </w:r>
    </w:p>
    <w:p w14:paraId="305CC313" w14:textId="77777777" w:rsidR="00B645A7" w:rsidRDefault="004A0706" w:rsidP="00B645A7">
      <w:pPr>
        <w:pStyle w:val="Testonotaapidipagina"/>
        <w:jc w:val="both"/>
        <w:rPr>
          <w:rFonts w:cstheme="minorHAnsi"/>
          <w:sz w:val="24"/>
          <w:szCs w:val="24"/>
          <w:lang w:val="en-GB"/>
        </w:rPr>
      </w:pPr>
      <w:r w:rsidRPr="00FB3143">
        <w:rPr>
          <w:sz w:val="24"/>
          <w:szCs w:val="24"/>
          <w:lang w:val="en-GB"/>
        </w:rPr>
        <w:t>BOAI</w:t>
      </w:r>
      <w:r w:rsidRPr="00FB3143">
        <w:rPr>
          <w:rFonts w:cstheme="minorHAnsi"/>
          <w:sz w:val="24"/>
          <w:szCs w:val="24"/>
          <w:lang w:val="en-GB"/>
        </w:rPr>
        <w:t xml:space="preserve"> (</w:t>
      </w:r>
      <w:r w:rsidRPr="00FB3143">
        <w:rPr>
          <w:sz w:val="24"/>
          <w:szCs w:val="24"/>
          <w:lang w:val="en-GB"/>
        </w:rPr>
        <w:t xml:space="preserve">2002), </w:t>
      </w:r>
      <w:r w:rsidRPr="00FB3143">
        <w:rPr>
          <w:rFonts w:cstheme="minorHAnsi"/>
          <w:sz w:val="24"/>
          <w:szCs w:val="24"/>
          <w:lang w:val="en-GB"/>
        </w:rPr>
        <w:t xml:space="preserve">&lt;http://www.budapestopenaccessinitiative.org/translations/italian-translation&gt;, </w:t>
      </w:r>
    </w:p>
    <w:p w14:paraId="4CCD0188" w14:textId="34761051" w:rsidR="004A0706" w:rsidRPr="00FB3143" w:rsidRDefault="004A0706" w:rsidP="00B645A7">
      <w:pPr>
        <w:pStyle w:val="Testonotaapidipagina"/>
        <w:ind w:firstLine="708"/>
        <w:jc w:val="both"/>
        <w:rPr>
          <w:rFonts w:cstheme="minorHAnsi"/>
          <w:sz w:val="24"/>
          <w:szCs w:val="24"/>
          <w:lang w:val="en-GB"/>
        </w:rPr>
      </w:pPr>
      <w:r w:rsidRPr="00FB3143">
        <w:rPr>
          <w:rFonts w:cstheme="minorHAnsi"/>
          <w:sz w:val="24"/>
          <w:szCs w:val="24"/>
          <w:lang w:val="en-GB"/>
        </w:rPr>
        <w:t>19.03.2018.</w:t>
      </w:r>
    </w:p>
    <w:p w14:paraId="2131F9D0" w14:textId="77777777" w:rsidR="00B645A7" w:rsidRDefault="004A0706" w:rsidP="00B645A7">
      <w:pPr>
        <w:spacing w:after="0" w:line="240" w:lineRule="auto"/>
        <w:contextualSpacing/>
        <w:jc w:val="both"/>
        <w:rPr>
          <w:rFonts w:cstheme="minorHAnsi"/>
          <w:sz w:val="24"/>
          <w:szCs w:val="24"/>
        </w:rPr>
      </w:pPr>
      <w:r w:rsidRPr="00FB3143">
        <w:rPr>
          <w:sz w:val="24"/>
          <w:szCs w:val="24"/>
        </w:rPr>
        <w:t xml:space="preserve">BOAI (2012), </w:t>
      </w:r>
      <w:r w:rsidRPr="00FB3143">
        <w:rPr>
          <w:rFonts w:cstheme="minorHAnsi"/>
          <w:i/>
          <w:sz w:val="24"/>
          <w:szCs w:val="24"/>
        </w:rPr>
        <w:t>L’iniziativa di Budapest per l’accesso aperto, dieci anni dopo</w:t>
      </w:r>
      <w:r w:rsidRPr="00FB3143">
        <w:rPr>
          <w:rFonts w:cstheme="minorHAnsi"/>
          <w:sz w:val="24"/>
          <w:szCs w:val="24"/>
        </w:rPr>
        <w:t xml:space="preserve">, </w:t>
      </w:r>
    </w:p>
    <w:p w14:paraId="0A2ECB93" w14:textId="40448F15" w:rsidR="00B645A7" w:rsidRDefault="004A0706" w:rsidP="00B645A7">
      <w:pPr>
        <w:spacing w:after="0" w:line="240" w:lineRule="auto"/>
        <w:ind w:firstLine="708"/>
        <w:contextualSpacing/>
        <w:jc w:val="both"/>
        <w:rPr>
          <w:rFonts w:cstheme="minorHAnsi"/>
          <w:sz w:val="24"/>
          <w:szCs w:val="24"/>
        </w:rPr>
      </w:pPr>
      <w:r w:rsidRPr="00FB3143">
        <w:rPr>
          <w:rFonts w:cstheme="minorHAnsi"/>
          <w:sz w:val="24"/>
          <w:szCs w:val="24"/>
        </w:rPr>
        <w:t>&lt;http://www.budapestopenaccessinitiative.org/boai-10-translations/italian-translatio</w:t>
      </w:r>
      <w:r w:rsidR="00B645A7">
        <w:rPr>
          <w:rFonts w:cstheme="minorHAnsi"/>
          <w:sz w:val="24"/>
          <w:szCs w:val="24"/>
        </w:rPr>
        <w:t>n&gt;,</w:t>
      </w:r>
    </w:p>
    <w:p w14:paraId="4D4F5B85" w14:textId="17BEB4E7" w:rsidR="004A0706" w:rsidRPr="00FB3143" w:rsidRDefault="004A0706" w:rsidP="00B645A7">
      <w:pPr>
        <w:spacing w:after="0" w:line="240" w:lineRule="auto"/>
        <w:ind w:firstLine="708"/>
        <w:contextualSpacing/>
        <w:jc w:val="both"/>
        <w:rPr>
          <w:rFonts w:cstheme="minorHAnsi"/>
          <w:sz w:val="24"/>
          <w:szCs w:val="24"/>
        </w:rPr>
      </w:pPr>
      <w:r w:rsidRPr="00FB3143">
        <w:rPr>
          <w:rFonts w:cstheme="minorHAnsi"/>
          <w:sz w:val="24"/>
          <w:szCs w:val="24"/>
        </w:rPr>
        <w:t>21.03.2018.</w:t>
      </w:r>
    </w:p>
    <w:p w14:paraId="3C8B0E61" w14:textId="77777777" w:rsidR="00B645A7" w:rsidRDefault="004A0706" w:rsidP="004A0706">
      <w:pPr>
        <w:spacing w:after="0" w:line="240" w:lineRule="auto"/>
        <w:contextualSpacing/>
        <w:jc w:val="both"/>
        <w:rPr>
          <w:rFonts w:cs="Arial"/>
          <w:bCs/>
          <w:i/>
          <w:sz w:val="24"/>
          <w:szCs w:val="24"/>
        </w:rPr>
      </w:pPr>
      <w:r w:rsidRPr="00FB3143">
        <w:rPr>
          <w:sz w:val="24"/>
          <w:szCs w:val="24"/>
        </w:rPr>
        <w:t xml:space="preserve">Commissione Europea (2006), </w:t>
      </w:r>
      <w:r w:rsidRPr="00FB3143">
        <w:rPr>
          <w:rFonts w:cs="Arial"/>
          <w:bCs/>
          <w:i/>
          <w:sz w:val="24"/>
          <w:szCs w:val="24"/>
        </w:rPr>
        <w:t xml:space="preserve">Settimo programma quadro (2007-2013), </w:t>
      </w:r>
    </w:p>
    <w:p w14:paraId="035F5D3D" w14:textId="15496A98" w:rsidR="004A0706" w:rsidRPr="00FB3143" w:rsidRDefault="004A0706" w:rsidP="00B645A7">
      <w:pPr>
        <w:spacing w:after="0" w:line="240" w:lineRule="auto"/>
        <w:ind w:firstLine="708"/>
        <w:contextualSpacing/>
        <w:jc w:val="both"/>
        <w:rPr>
          <w:rFonts w:cstheme="minorHAnsi"/>
          <w:sz w:val="24"/>
          <w:szCs w:val="24"/>
        </w:rPr>
      </w:pPr>
      <w:r w:rsidRPr="00FB3143">
        <w:rPr>
          <w:sz w:val="24"/>
          <w:szCs w:val="24"/>
        </w:rPr>
        <w:t>&lt;http://eur-lex.europa.eu/legal-content/IT/TXT/?uri=LEGISSUM%3Ai23022&gt;, 19.03.2018.</w:t>
      </w:r>
    </w:p>
    <w:p w14:paraId="435F2AEE" w14:textId="77777777" w:rsidR="00B645A7" w:rsidRDefault="004A0706" w:rsidP="004A0706">
      <w:pPr>
        <w:pStyle w:val="Testonotaapidipagina"/>
        <w:jc w:val="both"/>
        <w:rPr>
          <w:i/>
          <w:sz w:val="24"/>
          <w:szCs w:val="24"/>
        </w:rPr>
      </w:pPr>
      <w:r w:rsidRPr="00FB3143">
        <w:rPr>
          <w:sz w:val="24"/>
          <w:szCs w:val="24"/>
        </w:rPr>
        <w:t>Commissione Europea (2012</w:t>
      </w:r>
      <w:r w:rsidR="007F2201">
        <w:rPr>
          <w:sz w:val="24"/>
          <w:szCs w:val="24"/>
        </w:rPr>
        <w:t>a</w:t>
      </w:r>
      <w:r w:rsidRPr="00FB3143">
        <w:rPr>
          <w:sz w:val="24"/>
          <w:szCs w:val="24"/>
        </w:rPr>
        <w:t xml:space="preserve">), </w:t>
      </w:r>
      <w:r w:rsidRPr="00FB3143">
        <w:rPr>
          <w:i/>
          <w:sz w:val="24"/>
          <w:szCs w:val="24"/>
        </w:rPr>
        <w:t xml:space="preserve">Verso un accesso migliore alle informazioni scientifiche: aumentare </w:t>
      </w:r>
    </w:p>
    <w:p w14:paraId="2CDC4BB7" w14:textId="77777777" w:rsidR="00B645A7" w:rsidRDefault="004A0706" w:rsidP="00B645A7">
      <w:pPr>
        <w:pStyle w:val="Testonotaapidipagina"/>
        <w:ind w:firstLine="708"/>
        <w:jc w:val="both"/>
        <w:rPr>
          <w:sz w:val="24"/>
          <w:szCs w:val="24"/>
        </w:rPr>
      </w:pPr>
      <w:r w:rsidRPr="00FB3143">
        <w:rPr>
          <w:i/>
          <w:sz w:val="24"/>
          <w:szCs w:val="24"/>
        </w:rPr>
        <w:t>i benefici dell’investimento pubblico nella ricerca</w:t>
      </w:r>
      <w:r w:rsidRPr="00FB3143">
        <w:rPr>
          <w:sz w:val="24"/>
          <w:szCs w:val="24"/>
        </w:rPr>
        <w:t xml:space="preserve">, </w:t>
      </w:r>
    </w:p>
    <w:p w14:paraId="2617459A" w14:textId="34FEC51A" w:rsidR="004A0706" w:rsidRDefault="004A0706" w:rsidP="00B645A7">
      <w:pPr>
        <w:pStyle w:val="Testonotaapidipagina"/>
        <w:ind w:firstLine="708"/>
        <w:jc w:val="both"/>
        <w:rPr>
          <w:sz w:val="24"/>
          <w:szCs w:val="24"/>
        </w:rPr>
      </w:pPr>
      <w:r w:rsidRPr="00FB3143">
        <w:rPr>
          <w:sz w:val="24"/>
          <w:szCs w:val="24"/>
        </w:rPr>
        <w:t>&lt; http://eur-lex.europa.eu/legalcontent/IT/TXT/?uri=celex%3A52014DC0442&gt;, 19.03.2018.</w:t>
      </w:r>
    </w:p>
    <w:p w14:paraId="42C53FDC" w14:textId="77777777" w:rsidR="00B645A7" w:rsidRDefault="009142DE" w:rsidP="004A0706">
      <w:pPr>
        <w:pStyle w:val="Testonotaapidipagina"/>
        <w:jc w:val="both"/>
        <w:rPr>
          <w:sz w:val="24"/>
          <w:szCs w:val="24"/>
        </w:rPr>
      </w:pPr>
      <w:r w:rsidRPr="009142DE">
        <w:rPr>
          <w:sz w:val="24"/>
          <w:szCs w:val="24"/>
        </w:rPr>
        <w:t xml:space="preserve">Commissione Europea (2012b), Raccomandazione della Commissione sull’accesso all’informazione </w:t>
      </w:r>
    </w:p>
    <w:p w14:paraId="55CBE7C9" w14:textId="77777777" w:rsidR="00B645A7" w:rsidRDefault="009142DE" w:rsidP="00B645A7">
      <w:pPr>
        <w:pStyle w:val="Testonotaapidipagina"/>
        <w:ind w:firstLine="708"/>
        <w:jc w:val="both"/>
        <w:rPr>
          <w:sz w:val="24"/>
          <w:szCs w:val="24"/>
        </w:rPr>
      </w:pPr>
      <w:r w:rsidRPr="009142DE">
        <w:rPr>
          <w:sz w:val="24"/>
          <w:szCs w:val="24"/>
        </w:rPr>
        <w:t xml:space="preserve">scientifica e sulla sua conservazione, </w:t>
      </w:r>
    </w:p>
    <w:p w14:paraId="25A03DBC" w14:textId="242FB8A9" w:rsidR="009142DE" w:rsidRDefault="009142DE" w:rsidP="00B645A7">
      <w:pPr>
        <w:pStyle w:val="Testonotaapidipagina"/>
        <w:ind w:firstLine="708"/>
        <w:jc w:val="both"/>
        <w:rPr>
          <w:sz w:val="24"/>
          <w:szCs w:val="24"/>
        </w:rPr>
      </w:pPr>
      <w:r w:rsidRPr="009142DE">
        <w:rPr>
          <w:sz w:val="24"/>
          <w:szCs w:val="24"/>
        </w:rPr>
        <w:t>&lt;http://eur-lex.europa.eu/legal-content/IT/TXT/?uri=CELEX%3A32012H0417&gt;, 19.03.2018.</w:t>
      </w:r>
    </w:p>
    <w:p w14:paraId="778D1615" w14:textId="77777777" w:rsidR="00B645A7" w:rsidRDefault="009142DE" w:rsidP="004A0706">
      <w:pPr>
        <w:pStyle w:val="Testonotaapidipagina"/>
        <w:jc w:val="both"/>
        <w:rPr>
          <w:sz w:val="24"/>
          <w:szCs w:val="24"/>
        </w:rPr>
      </w:pPr>
      <w:r w:rsidRPr="009142DE">
        <w:rPr>
          <w:sz w:val="24"/>
          <w:szCs w:val="24"/>
        </w:rPr>
        <w:t xml:space="preserve">Commissione Europea (2012c), Documento di lavoro dei servizi della Commissione: Sintesi della </w:t>
      </w:r>
    </w:p>
    <w:p w14:paraId="44E02778" w14:textId="77777777" w:rsidR="00B645A7" w:rsidRDefault="009142DE" w:rsidP="00B645A7">
      <w:pPr>
        <w:pStyle w:val="Testonotaapidipagina"/>
        <w:ind w:firstLine="708"/>
        <w:jc w:val="both"/>
        <w:rPr>
          <w:sz w:val="24"/>
          <w:szCs w:val="24"/>
        </w:rPr>
      </w:pPr>
      <w:r w:rsidRPr="009142DE">
        <w:rPr>
          <w:sz w:val="24"/>
          <w:szCs w:val="24"/>
        </w:rPr>
        <w:t xml:space="preserve">valutazione d'impatto che accompagna il documento Raccomandazione sull'accesso </w:t>
      </w:r>
    </w:p>
    <w:p w14:paraId="34C95C33" w14:textId="77777777" w:rsidR="00B645A7" w:rsidRDefault="009142DE" w:rsidP="00B645A7">
      <w:pPr>
        <w:pStyle w:val="Testonotaapidipagina"/>
        <w:ind w:left="708"/>
        <w:jc w:val="both"/>
        <w:rPr>
          <w:sz w:val="24"/>
          <w:szCs w:val="24"/>
        </w:rPr>
      </w:pPr>
      <w:r w:rsidRPr="009142DE">
        <w:rPr>
          <w:sz w:val="24"/>
          <w:szCs w:val="24"/>
        </w:rPr>
        <w:t xml:space="preserve">all'informazione scientifica e sulla sua conservazione, </w:t>
      </w:r>
    </w:p>
    <w:p w14:paraId="21293142" w14:textId="66570E38" w:rsidR="009142DE" w:rsidRPr="00FB3143" w:rsidRDefault="009142DE" w:rsidP="00B645A7">
      <w:pPr>
        <w:pStyle w:val="Testonotaapidipagina"/>
        <w:ind w:left="708"/>
        <w:jc w:val="both"/>
        <w:rPr>
          <w:sz w:val="24"/>
          <w:szCs w:val="24"/>
        </w:rPr>
      </w:pPr>
      <w:r w:rsidRPr="009142DE">
        <w:rPr>
          <w:sz w:val="24"/>
          <w:szCs w:val="24"/>
        </w:rPr>
        <w:t>&lt;http://eur-lex.europa.eu/legal-content/IT/LSU/?uri=CELEX%3A32012H0417&gt;, 19.03.2018.</w:t>
      </w:r>
    </w:p>
    <w:p w14:paraId="1F831E37" w14:textId="77777777" w:rsidR="00B645A7" w:rsidRDefault="004A0706" w:rsidP="004A0706">
      <w:pPr>
        <w:pStyle w:val="Testonotaapidipagina"/>
        <w:jc w:val="both"/>
        <w:rPr>
          <w:sz w:val="24"/>
          <w:szCs w:val="24"/>
        </w:rPr>
      </w:pPr>
      <w:r w:rsidRPr="00FB3143">
        <w:rPr>
          <w:sz w:val="24"/>
          <w:szCs w:val="24"/>
        </w:rPr>
        <w:t>Commissione Europea (2017</w:t>
      </w:r>
      <w:r w:rsidR="00A02D78">
        <w:rPr>
          <w:sz w:val="24"/>
          <w:szCs w:val="24"/>
        </w:rPr>
        <w:t>a</w:t>
      </w:r>
      <w:r w:rsidRPr="00FB3143">
        <w:rPr>
          <w:sz w:val="24"/>
          <w:szCs w:val="24"/>
        </w:rPr>
        <w:t xml:space="preserve">), </w:t>
      </w:r>
      <w:proofErr w:type="spellStart"/>
      <w:r w:rsidRPr="00FB3143">
        <w:rPr>
          <w:i/>
          <w:sz w:val="24"/>
          <w:szCs w:val="24"/>
        </w:rPr>
        <w:t>Horizon</w:t>
      </w:r>
      <w:proofErr w:type="spellEnd"/>
      <w:r w:rsidRPr="00FB3143">
        <w:rPr>
          <w:i/>
          <w:sz w:val="24"/>
          <w:szCs w:val="24"/>
        </w:rPr>
        <w:t xml:space="preserve"> 2018-2020</w:t>
      </w:r>
      <w:r w:rsidRPr="00FB3143">
        <w:rPr>
          <w:sz w:val="24"/>
          <w:szCs w:val="24"/>
        </w:rPr>
        <w:t xml:space="preserve">, </w:t>
      </w:r>
    </w:p>
    <w:p w14:paraId="5C434636" w14:textId="3C8D9B14" w:rsidR="004A0706" w:rsidRPr="00FB3143" w:rsidRDefault="004A0706" w:rsidP="00B645A7">
      <w:pPr>
        <w:pStyle w:val="Testonotaapidipagina"/>
        <w:ind w:firstLine="708"/>
        <w:jc w:val="both"/>
        <w:rPr>
          <w:sz w:val="24"/>
          <w:szCs w:val="24"/>
        </w:rPr>
      </w:pPr>
      <w:r w:rsidRPr="00FB3143">
        <w:rPr>
          <w:sz w:val="24"/>
          <w:szCs w:val="24"/>
        </w:rPr>
        <w:t>&lt;https://ec.europa.eu/programmes/horizon2020/en/official-documents&gt; 19.03.2018.</w:t>
      </w:r>
    </w:p>
    <w:p w14:paraId="09F9C15E" w14:textId="77777777" w:rsidR="00B645A7" w:rsidRDefault="004A0706" w:rsidP="004A0706">
      <w:pPr>
        <w:pStyle w:val="NormaleWeb"/>
        <w:spacing w:before="0" w:beforeAutospacing="0" w:after="0" w:afterAutospacing="0"/>
        <w:jc w:val="both"/>
        <w:rPr>
          <w:rFonts w:asciiTheme="minorHAnsi" w:hAnsiTheme="minorHAnsi"/>
          <w:i/>
          <w:lang w:val="en-GB"/>
        </w:rPr>
      </w:pPr>
      <w:proofErr w:type="spellStart"/>
      <w:r w:rsidRPr="00FB3143">
        <w:rPr>
          <w:rFonts w:asciiTheme="minorHAnsi" w:hAnsiTheme="minorHAnsi"/>
          <w:lang w:val="en-GB"/>
        </w:rPr>
        <w:t>Commissione</w:t>
      </w:r>
      <w:proofErr w:type="spellEnd"/>
      <w:r w:rsidRPr="00FB3143">
        <w:rPr>
          <w:rFonts w:asciiTheme="minorHAnsi" w:hAnsiTheme="minorHAnsi"/>
          <w:lang w:val="en-GB"/>
        </w:rPr>
        <w:t xml:space="preserve"> </w:t>
      </w:r>
      <w:proofErr w:type="spellStart"/>
      <w:r w:rsidRPr="00FB3143">
        <w:rPr>
          <w:rFonts w:asciiTheme="minorHAnsi" w:hAnsiTheme="minorHAnsi"/>
          <w:lang w:val="en-GB"/>
        </w:rPr>
        <w:t>Europea</w:t>
      </w:r>
      <w:proofErr w:type="spellEnd"/>
      <w:r w:rsidRPr="00FB3143">
        <w:rPr>
          <w:rFonts w:asciiTheme="minorHAnsi" w:hAnsiTheme="minorHAnsi"/>
          <w:lang w:val="en-GB"/>
        </w:rPr>
        <w:t xml:space="preserve"> (2017</w:t>
      </w:r>
      <w:r w:rsidR="00A02D78">
        <w:rPr>
          <w:rFonts w:asciiTheme="minorHAnsi" w:hAnsiTheme="minorHAnsi"/>
          <w:lang w:val="en-GB"/>
        </w:rPr>
        <w:t>b</w:t>
      </w:r>
      <w:r w:rsidRPr="00FB3143">
        <w:rPr>
          <w:rFonts w:asciiTheme="minorHAnsi" w:hAnsiTheme="minorHAnsi"/>
          <w:lang w:val="en-GB"/>
        </w:rPr>
        <w:t xml:space="preserve">), </w:t>
      </w:r>
      <w:r w:rsidRPr="00FB3143">
        <w:rPr>
          <w:rFonts w:asciiTheme="minorHAnsi" w:hAnsiTheme="minorHAnsi"/>
          <w:i/>
          <w:lang w:val="en-GB"/>
        </w:rPr>
        <w:t xml:space="preserve">Guidelines to the Rules on Open Access to Scientific Publications </w:t>
      </w:r>
    </w:p>
    <w:p w14:paraId="624DA531" w14:textId="7F415F81" w:rsidR="004A0706" w:rsidRPr="00FB3143" w:rsidRDefault="004A0706" w:rsidP="00B645A7">
      <w:pPr>
        <w:pStyle w:val="NormaleWeb"/>
        <w:spacing w:before="0" w:beforeAutospacing="0" w:after="0" w:afterAutospacing="0"/>
        <w:ind w:left="708"/>
        <w:jc w:val="both"/>
        <w:rPr>
          <w:rFonts w:asciiTheme="minorHAnsi" w:eastAsiaTheme="minorEastAsia" w:hAnsiTheme="minorHAnsi" w:cs="Arial"/>
          <w:lang w:val="en-GB" w:eastAsia="ja-JP"/>
        </w:rPr>
      </w:pPr>
      <w:proofErr w:type="gramStart"/>
      <w:r w:rsidRPr="00FB3143">
        <w:rPr>
          <w:rFonts w:asciiTheme="minorHAnsi" w:hAnsiTheme="minorHAnsi"/>
          <w:i/>
          <w:lang w:val="en-GB"/>
        </w:rPr>
        <w:t>and</w:t>
      </w:r>
      <w:proofErr w:type="gramEnd"/>
      <w:r w:rsidRPr="00FB3143">
        <w:rPr>
          <w:rFonts w:asciiTheme="minorHAnsi" w:hAnsiTheme="minorHAnsi"/>
          <w:i/>
          <w:lang w:val="en-GB"/>
        </w:rPr>
        <w:t xml:space="preserve"> Open Access to Research Data in Horizon 2020</w:t>
      </w:r>
      <w:r w:rsidRPr="00FB3143">
        <w:rPr>
          <w:rFonts w:asciiTheme="minorHAnsi" w:hAnsiTheme="minorHAnsi"/>
          <w:lang w:val="en-GB"/>
        </w:rPr>
        <w:t xml:space="preserve">, </w:t>
      </w:r>
      <w:r w:rsidRPr="00FB3143">
        <w:rPr>
          <w:rFonts w:asciiTheme="minorHAnsi" w:eastAsiaTheme="minorEastAsia" w:hAnsiTheme="minorHAnsi" w:cs="Arial"/>
          <w:lang w:val="en-GB" w:eastAsia="ja-JP"/>
        </w:rPr>
        <w:t>&lt;http://ec.europa.eu/research/participants/data/ref/h2020/grants_manual/hi/oa_pilot/h2020-hi-oa-pilot-guide_en.pdf&gt;, 22.03.2017.</w:t>
      </w:r>
    </w:p>
    <w:p w14:paraId="338BCE7F" w14:textId="77777777" w:rsidR="00B645A7" w:rsidRDefault="004A0706" w:rsidP="004A0706">
      <w:pPr>
        <w:pStyle w:val="NormaleWeb"/>
        <w:spacing w:before="0" w:beforeAutospacing="0" w:after="0" w:afterAutospacing="0"/>
        <w:jc w:val="both"/>
        <w:rPr>
          <w:rFonts w:asciiTheme="minorHAnsi" w:hAnsiTheme="minorHAnsi"/>
          <w:i/>
        </w:rPr>
      </w:pPr>
      <w:r w:rsidRPr="00FB3143">
        <w:rPr>
          <w:rFonts w:asciiTheme="minorHAnsi" w:eastAsiaTheme="minorEastAsia" w:hAnsiTheme="minorHAnsi" w:cs="Arial"/>
          <w:lang w:eastAsia="ja-JP"/>
        </w:rPr>
        <w:t xml:space="preserve">CRUI, Commissione biblioteche, Gruppo Open Access (2007), </w:t>
      </w:r>
      <w:r w:rsidRPr="00FB3143">
        <w:rPr>
          <w:rFonts w:asciiTheme="minorHAnsi" w:hAnsiTheme="minorHAnsi"/>
          <w:i/>
        </w:rPr>
        <w:t xml:space="preserve">Linee guida per il deposito delle tesi </w:t>
      </w:r>
    </w:p>
    <w:p w14:paraId="0FDA4818" w14:textId="77777777" w:rsidR="00B645A7" w:rsidRDefault="004A0706" w:rsidP="00B645A7">
      <w:pPr>
        <w:pStyle w:val="NormaleWeb"/>
        <w:spacing w:before="0" w:beforeAutospacing="0" w:after="0" w:afterAutospacing="0"/>
        <w:ind w:firstLine="708"/>
        <w:jc w:val="both"/>
        <w:rPr>
          <w:rFonts w:asciiTheme="minorHAnsi" w:hAnsiTheme="minorHAnsi"/>
        </w:rPr>
      </w:pPr>
      <w:r w:rsidRPr="00FB3143">
        <w:rPr>
          <w:rFonts w:asciiTheme="minorHAnsi" w:hAnsiTheme="minorHAnsi"/>
          <w:i/>
        </w:rPr>
        <w:t>di dottorato negli archivi aperti</w:t>
      </w:r>
      <w:r w:rsidRPr="00FB3143">
        <w:rPr>
          <w:rFonts w:asciiTheme="minorHAnsi" w:hAnsiTheme="minorHAnsi"/>
        </w:rPr>
        <w:t xml:space="preserve">, </w:t>
      </w:r>
    </w:p>
    <w:p w14:paraId="11431451" w14:textId="596F025F" w:rsidR="004A0706" w:rsidRPr="00FB3143" w:rsidRDefault="004A0706" w:rsidP="00B645A7">
      <w:pPr>
        <w:pStyle w:val="NormaleWeb"/>
        <w:spacing w:before="0" w:beforeAutospacing="0" w:after="0" w:afterAutospacing="0"/>
        <w:ind w:left="708"/>
        <w:jc w:val="both"/>
        <w:rPr>
          <w:rFonts w:asciiTheme="minorHAnsi" w:hAnsiTheme="minorHAnsi"/>
        </w:rPr>
      </w:pPr>
      <w:r w:rsidRPr="00FB3143">
        <w:rPr>
          <w:rFonts w:asciiTheme="minorHAnsi" w:hAnsiTheme="minorHAnsi"/>
        </w:rPr>
        <w:t>&lt; https://www.crui.it/images/bibliotche/linee_guida_deposito_t</w:t>
      </w:r>
      <w:r w:rsidR="00B645A7">
        <w:rPr>
          <w:rFonts w:asciiTheme="minorHAnsi" w:hAnsiTheme="minorHAnsi"/>
        </w:rPr>
        <w:t xml:space="preserve">esi_dottorato.pdf &gt;, </w:t>
      </w:r>
      <w:r w:rsidRPr="00FB3143">
        <w:rPr>
          <w:rFonts w:asciiTheme="minorHAnsi" w:hAnsiTheme="minorHAnsi"/>
        </w:rPr>
        <w:t>22.03.2018.</w:t>
      </w:r>
    </w:p>
    <w:p w14:paraId="75B241AC" w14:textId="77777777" w:rsidR="00B645A7" w:rsidRDefault="004A0706" w:rsidP="004A0706">
      <w:pPr>
        <w:spacing w:after="0" w:line="240" w:lineRule="auto"/>
        <w:jc w:val="both"/>
        <w:rPr>
          <w:i/>
          <w:sz w:val="24"/>
          <w:szCs w:val="24"/>
        </w:rPr>
      </w:pPr>
      <w:r w:rsidRPr="00FB3143">
        <w:rPr>
          <w:sz w:val="24"/>
          <w:szCs w:val="24"/>
        </w:rPr>
        <w:t>CRUI, Commissione Biblioteche, Gruppo Open Access</w:t>
      </w:r>
      <w:r w:rsidRPr="00FB3143">
        <w:rPr>
          <w:i/>
          <w:sz w:val="24"/>
          <w:szCs w:val="24"/>
        </w:rPr>
        <w:t xml:space="preserve"> (2009</w:t>
      </w:r>
      <w:r w:rsidR="00B35BA7">
        <w:rPr>
          <w:i/>
          <w:sz w:val="24"/>
          <w:szCs w:val="24"/>
        </w:rPr>
        <w:t>a</w:t>
      </w:r>
      <w:r w:rsidRPr="00FB3143">
        <w:rPr>
          <w:i/>
          <w:sz w:val="24"/>
          <w:szCs w:val="24"/>
        </w:rPr>
        <w:t xml:space="preserve">), Linee guida per gli archivi </w:t>
      </w:r>
    </w:p>
    <w:p w14:paraId="556F2757" w14:textId="2786B3F3" w:rsidR="004A0706" w:rsidRPr="00FB3143" w:rsidRDefault="004A0706" w:rsidP="00B645A7">
      <w:pPr>
        <w:spacing w:after="0" w:line="240" w:lineRule="auto"/>
        <w:ind w:left="708"/>
        <w:jc w:val="both"/>
        <w:rPr>
          <w:sz w:val="24"/>
          <w:szCs w:val="24"/>
        </w:rPr>
      </w:pPr>
      <w:r w:rsidRPr="00FB3143">
        <w:rPr>
          <w:i/>
          <w:sz w:val="24"/>
          <w:szCs w:val="24"/>
        </w:rPr>
        <w:t>istituzionali,</w:t>
      </w:r>
      <w:r w:rsidRPr="00FB3143">
        <w:rPr>
          <w:sz w:val="24"/>
          <w:szCs w:val="24"/>
        </w:rPr>
        <w:t xml:space="preserve"> &lt;https://www.crui.it/images/allegati/biblioteca/linee_guida_archivi_istituzionali.pdf&gt;, 21.03.2018.</w:t>
      </w:r>
    </w:p>
    <w:p w14:paraId="3B008F35" w14:textId="77777777" w:rsidR="00B645A7" w:rsidRDefault="004A0706" w:rsidP="00B645A7">
      <w:pPr>
        <w:spacing w:after="0" w:line="240" w:lineRule="auto"/>
        <w:jc w:val="both"/>
        <w:rPr>
          <w:sz w:val="24"/>
          <w:szCs w:val="24"/>
        </w:rPr>
      </w:pPr>
      <w:r w:rsidRPr="00FB3143">
        <w:rPr>
          <w:sz w:val="24"/>
          <w:szCs w:val="24"/>
        </w:rPr>
        <w:t>CRUI, Commissione Biblioteche, Gruppo Open Access (2009</w:t>
      </w:r>
      <w:r w:rsidR="00B35BA7">
        <w:rPr>
          <w:sz w:val="24"/>
          <w:szCs w:val="24"/>
        </w:rPr>
        <w:t>b</w:t>
      </w:r>
      <w:r w:rsidRPr="00FB3143">
        <w:rPr>
          <w:sz w:val="24"/>
          <w:szCs w:val="24"/>
        </w:rPr>
        <w:t xml:space="preserve">), </w:t>
      </w:r>
    </w:p>
    <w:p w14:paraId="72B2B3B2" w14:textId="77777777" w:rsidR="00B645A7" w:rsidRDefault="00E5314E" w:rsidP="00B645A7">
      <w:pPr>
        <w:spacing w:after="0" w:line="240" w:lineRule="auto"/>
        <w:ind w:firstLine="708"/>
        <w:jc w:val="both"/>
        <w:rPr>
          <w:rFonts w:eastAsia="Times New Roman"/>
          <w:sz w:val="24"/>
          <w:szCs w:val="24"/>
        </w:rPr>
      </w:pPr>
      <w:hyperlink r:id="rId11" w:history="1">
        <w:r w:rsidR="004A0706" w:rsidRPr="00FB3143">
          <w:rPr>
            <w:rFonts w:eastAsia="Times New Roman"/>
            <w:i/>
            <w:sz w:val="24"/>
            <w:szCs w:val="24"/>
          </w:rPr>
          <w:t xml:space="preserve">L’Open Access e la valutazione dei </w:t>
        </w:r>
        <w:r w:rsidR="004A0706" w:rsidRPr="00FB3143">
          <w:rPr>
            <w:rFonts w:eastAsia="Times New Roman"/>
            <w:i/>
            <w:sz w:val="24"/>
            <w:szCs w:val="24"/>
          </w:rPr>
          <w:t>prodotti della ricerca scientifica – Raccomandazioni</w:t>
        </w:r>
      </w:hyperlink>
      <w:r w:rsidR="004A0706" w:rsidRPr="00FB3143">
        <w:rPr>
          <w:rFonts w:eastAsia="Times New Roman"/>
          <w:sz w:val="24"/>
          <w:szCs w:val="24"/>
        </w:rPr>
        <w:t xml:space="preserve">, </w:t>
      </w:r>
    </w:p>
    <w:p w14:paraId="07EEE119" w14:textId="1F82A9A4" w:rsidR="004A0706" w:rsidRPr="00FB3143" w:rsidRDefault="004A0706" w:rsidP="00B645A7">
      <w:pPr>
        <w:spacing w:after="0" w:line="240" w:lineRule="auto"/>
        <w:ind w:firstLine="708"/>
        <w:jc w:val="both"/>
        <w:rPr>
          <w:rFonts w:eastAsia="Times New Roman"/>
          <w:sz w:val="24"/>
          <w:szCs w:val="24"/>
          <w:lang w:eastAsia="it-IT"/>
        </w:rPr>
      </w:pPr>
      <w:r w:rsidRPr="00FB3143">
        <w:rPr>
          <w:sz w:val="24"/>
          <w:szCs w:val="24"/>
        </w:rPr>
        <w:t xml:space="preserve">&lt; </w:t>
      </w:r>
      <w:hyperlink r:id="rId12" w:history="1">
        <w:r w:rsidRPr="00FB3143">
          <w:rPr>
            <w:sz w:val="24"/>
            <w:szCs w:val="24"/>
            <w:u w:val="single"/>
          </w:rPr>
          <w:t>https://www.crui.it/oa.html</w:t>
        </w:r>
      </w:hyperlink>
      <w:r w:rsidRPr="00FB3143">
        <w:rPr>
          <w:sz w:val="24"/>
          <w:szCs w:val="24"/>
        </w:rPr>
        <w:t xml:space="preserve">&gt; </w:t>
      </w:r>
      <w:r w:rsidRPr="00FB3143">
        <w:rPr>
          <w:rFonts w:eastAsia="Times New Roman"/>
          <w:sz w:val="24"/>
          <w:szCs w:val="24"/>
          <w:lang w:eastAsia="it-IT"/>
        </w:rPr>
        <w:t>19.03.2018.</w:t>
      </w:r>
    </w:p>
    <w:p w14:paraId="72077C8E" w14:textId="77777777" w:rsidR="00B645A7" w:rsidRDefault="004A0706" w:rsidP="004A0706">
      <w:pPr>
        <w:spacing w:after="0" w:line="240" w:lineRule="auto"/>
        <w:jc w:val="both"/>
        <w:rPr>
          <w:sz w:val="24"/>
          <w:szCs w:val="24"/>
        </w:rPr>
      </w:pPr>
      <w:r w:rsidRPr="00FB3143">
        <w:rPr>
          <w:sz w:val="24"/>
          <w:szCs w:val="24"/>
        </w:rPr>
        <w:t>CRUI, Commissione Biblioteche, Gruppo Open Access (2009</w:t>
      </w:r>
      <w:r w:rsidR="00B35BA7">
        <w:rPr>
          <w:sz w:val="24"/>
          <w:szCs w:val="24"/>
        </w:rPr>
        <w:t>c</w:t>
      </w:r>
      <w:r w:rsidRPr="00FB3143">
        <w:rPr>
          <w:sz w:val="24"/>
          <w:szCs w:val="24"/>
        </w:rPr>
        <w:t xml:space="preserve">), </w:t>
      </w:r>
    </w:p>
    <w:p w14:paraId="1B622E80" w14:textId="77777777" w:rsidR="00B645A7" w:rsidRDefault="00E5314E" w:rsidP="00B645A7">
      <w:pPr>
        <w:spacing w:after="0" w:line="240" w:lineRule="auto"/>
        <w:ind w:firstLine="708"/>
        <w:jc w:val="both"/>
        <w:rPr>
          <w:sz w:val="24"/>
          <w:szCs w:val="24"/>
        </w:rPr>
      </w:pPr>
      <w:hyperlink r:id="rId13" w:history="1">
        <w:r w:rsidR="004A0706" w:rsidRPr="00FB3143">
          <w:rPr>
            <w:i/>
            <w:sz w:val="24"/>
            <w:szCs w:val="24"/>
          </w:rPr>
          <w:t>Riviste ad accesso aperto: linee guida</w:t>
        </w:r>
      </w:hyperlink>
      <w:r w:rsidR="004A0706" w:rsidRPr="00FB3143">
        <w:rPr>
          <w:sz w:val="24"/>
          <w:szCs w:val="24"/>
        </w:rPr>
        <w:t xml:space="preserve">, </w:t>
      </w:r>
    </w:p>
    <w:p w14:paraId="5887DD8A" w14:textId="244237C4" w:rsidR="004A0706" w:rsidRPr="00FB3143" w:rsidRDefault="004A0706" w:rsidP="00B645A7">
      <w:pPr>
        <w:spacing w:after="0" w:line="240" w:lineRule="auto"/>
        <w:ind w:left="708"/>
        <w:jc w:val="both"/>
        <w:rPr>
          <w:sz w:val="24"/>
          <w:szCs w:val="24"/>
        </w:rPr>
      </w:pPr>
      <w:r w:rsidRPr="00FB3143">
        <w:rPr>
          <w:sz w:val="24"/>
          <w:szCs w:val="24"/>
        </w:rPr>
        <w:t xml:space="preserve">&lt; https://www.crui.it/images/allegati/biblioteca/linee_guida_accesso_aperto.pdf &gt; </w:t>
      </w:r>
      <w:r w:rsidRPr="00FB3143">
        <w:rPr>
          <w:rFonts w:eastAsia="Times New Roman"/>
          <w:sz w:val="24"/>
          <w:szCs w:val="24"/>
          <w:lang w:eastAsia="it-IT"/>
        </w:rPr>
        <w:t>19.03.2018.</w:t>
      </w:r>
    </w:p>
    <w:p w14:paraId="0135EC9B" w14:textId="77777777" w:rsidR="00B645A7" w:rsidRDefault="004A0706" w:rsidP="004A0706">
      <w:pPr>
        <w:spacing w:after="0" w:line="240" w:lineRule="auto"/>
        <w:jc w:val="both"/>
        <w:rPr>
          <w:sz w:val="24"/>
          <w:szCs w:val="24"/>
        </w:rPr>
      </w:pPr>
      <w:r w:rsidRPr="00FB3143">
        <w:rPr>
          <w:sz w:val="24"/>
          <w:szCs w:val="24"/>
        </w:rPr>
        <w:t xml:space="preserve">CRUI, Commissione Biblioteche, Gruppo Open Access (2012), </w:t>
      </w:r>
    </w:p>
    <w:p w14:paraId="2702D251" w14:textId="209EA53E" w:rsidR="004A0706" w:rsidRPr="00FB3143" w:rsidRDefault="004A0706" w:rsidP="00B645A7">
      <w:pPr>
        <w:spacing w:after="0" w:line="240" w:lineRule="auto"/>
        <w:ind w:left="708"/>
        <w:jc w:val="both"/>
        <w:rPr>
          <w:sz w:val="24"/>
          <w:szCs w:val="24"/>
        </w:rPr>
      </w:pPr>
      <w:r w:rsidRPr="00FB3143">
        <w:rPr>
          <w:i/>
          <w:iCs/>
          <w:sz w:val="24"/>
          <w:szCs w:val="24"/>
        </w:rPr>
        <w:t xml:space="preserve">Linee guida per la creazione e la gestione di metadati nei </w:t>
      </w:r>
      <w:proofErr w:type="spellStart"/>
      <w:r w:rsidRPr="00FB3143">
        <w:rPr>
          <w:i/>
          <w:iCs/>
          <w:sz w:val="24"/>
          <w:szCs w:val="24"/>
        </w:rPr>
        <w:t>repository</w:t>
      </w:r>
      <w:proofErr w:type="spellEnd"/>
      <w:r w:rsidRPr="00FB3143">
        <w:rPr>
          <w:i/>
          <w:iCs/>
          <w:sz w:val="24"/>
          <w:szCs w:val="24"/>
        </w:rPr>
        <w:t xml:space="preserve"> istituzionali</w:t>
      </w:r>
      <w:r w:rsidRPr="00FB3143">
        <w:rPr>
          <w:sz w:val="24"/>
          <w:szCs w:val="24"/>
        </w:rPr>
        <w:t>, &lt;https://www.crui.it/images/allegati/biblioteca/linee_guida_open_Access.pdf&gt;, 21.03.2018.</w:t>
      </w:r>
    </w:p>
    <w:p w14:paraId="1268EB9E" w14:textId="77777777" w:rsidR="00B645A7" w:rsidRDefault="004A0706" w:rsidP="004A0706">
      <w:pPr>
        <w:spacing w:after="0" w:line="240" w:lineRule="auto"/>
        <w:jc w:val="both"/>
        <w:rPr>
          <w:sz w:val="24"/>
          <w:szCs w:val="24"/>
        </w:rPr>
      </w:pPr>
      <w:r w:rsidRPr="00FB3143">
        <w:rPr>
          <w:sz w:val="24"/>
          <w:szCs w:val="24"/>
        </w:rPr>
        <w:t xml:space="preserve">CRUI, Commissione Biblioteche, Gruppo Open Access (2013), </w:t>
      </w:r>
    </w:p>
    <w:p w14:paraId="0A75EA59" w14:textId="22D2F760" w:rsidR="004A0706" w:rsidRPr="00FB3143" w:rsidRDefault="00E5314E" w:rsidP="00B645A7">
      <w:pPr>
        <w:spacing w:after="0" w:line="240" w:lineRule="auto"/>
        <w:ind w:left="708"/>
        <w:jc w:val="both"/>
        <w:rPr>
          <w:rFonts w:eastAsia="Times New Roman"/>
          <w:sz w:val="24"/>
          <w:szCs w:val="24"/>
          <w:lang w:eastAsia="it-IT"/>
        </w:rPr>
      </w:pPr>
      <w:hyperlink r:id="rId14" w:history="1">
        <w:r w:rsidR="004A0706" w:rsidRPr="00FB3143">
          <w:rPr>
            <w:rFonts w:eastAsia="Times New Roman"/>
            <w:i/>
            <w:sz w:val="24"/>
            <w:szCs w:val="24"/>
          </w:rPr>
          <w:t>Linee Guida per la redazione di policy e regolamenti universitari in materia di accesso aperto alle pubblicazioni e ai dati della ricerca</w:t>
        </w:r>
      </w:hyperlink>
      <w:r w:rsidR="004A0706" w:rsidRPr="00FB3143">
        <w:rPr>
          <w:rFonts w:eastAsia="Times New Roman"/>
          <w:sz w:val="24"/>
          <w:szCs w:val="24"/>
        </w:rPr>
        <w:t xml:space="preserve"> (2013),</w:t>
      </w:r>
      <w:r w:rsidR="004A0706" w:rsidRPr="00FB3143">
        <w:rPr>
          <w:rFonts w:eastAsia="Times New Roman"/>
          <w:sz w:val="24"/>
          <w:szCs w:val="24"/>
          <w:lang w:eastAsia="it-IT"/>
        </w:rPr>
        <w:t xml:space="preserve"> &lt;https://www.crui.it/images/allegati/biblioteca/linee_guida_policy.pdf&gt; 19.03.2018.</w:t>
      </w:r>
    </w:p>
    <w:p w14:paraId="1C3E5938" w14:textId="77777777" w:rsidR="00B645A7" w:rsidRDefault="004A0706" w:rsidP="004A0706">
      <w:pPr>
        <w:spacing w:after="0" w:line="240" w:lineRule="auto"/>
        <w:jc w:val="both"/>
        <w:rPr>
          <w:sz w:val="24"/>
          <w:szCs w:val="24"/>
        </w:rPr>
      </w:pPr>
      <w:proofErr w:type="spellStart"/>
      <w:r w:rsidRPr="00FB3143">
        <w:rPr>
          <w:sz w:val="24"/>
          <w:szCs w:val="24"/>
        </w:rPr>
        <w:t>Donadio</w:t>
      </w:r>
      <w:proofErr w:type="spellEnd"/>
      <w:r w:rsidR="00DD5518" w:rsidRPr="00FB3143">
        <w:rPr>
          <w:sz w:val="24"/>
          <w:szCs w:val="24"/>
        </w:rPr>
        <w:t xml:space="preserve"> G.</w:t>
      </w:r>
      <w:r w:rsidRPr="00FB3143">
        <w:rPr>
          <w:sz w:val="24"/>
          <w:szCs w:val="24"/>
        </w:rPr>
        <w:t xml:space="preserve"> (2013), </w:t>
      </w:r>
      <w:r w:rsidRPr="00FB3143">
        <w:rPr>
          <w:i/>
          <w:sz w:val="24"/>
          <w:szCs w:val="24"/>
        </w:rPr>
        <w:t>Open Access, Europa e modelli contrattuali: alcune prospettive sui beni comuni</w:t>
      </w:r>
      <w:r w:rsidRPr="00FB3143">
        <w:rPr>
          <w:sz w:val="24"/>
          <w:szCs w:val="24"/>
        </w:rPr>
        <w:t xml:space="preserve">, </w:t>
      </w:r>
    </w:p>
    <w:p w14:paraId="2B989283" w14:textId="5E23BE09" w:rsidR="004A0706" w:rsidRPr="00FB3143" w:rsidRDefault="004A0706" w:rsidP="00B645A7">
      <w:pPr>
        <w:spacing w:after="0" w:line="240" w:lineRule="auto"/>
        <w:ind w:firstLine="708"/>
        <w:jc w:val="both"/>
        <w:rPr>
          <w:strike/>
          <w:sz w:val="24"/>
          <w:szCs w:val="24"/>
        </w:rPr>
      </w:pPr>
      <w:r w:rsidRPr="00FB3143">
        <w:rPr>
          <w:sz w:val="24"/>
          <w:szCs w:val="24"/>
        </w:rPr>
        <w:t>«Rivista Critica diritto Privato», vol. 31, n. 1, pp. 107-122.</w:t>
      </w:r>
    </w:p>
    <w:p w14:paraId="2F97DE13" w14:textId="77777777" w:rsidR="00B645A7" w:rsidRDefault="004A0706" w:rsidP="004A0706">
      <w:pPr>
        <w:spacing w:after="0" w:line="240" w:lineRule="auto"/>
        <w:jc w:val="both"/>
        <w:rPr>
          <w:sz w:val="24"/>
          <w:szCs w:val="24"/>
        </w:rPr>
      </w:pPr>
      <w:r w:rsidRPr="00FB3143">
        <w:rPr>
          <w:sz w:val="24"/>
          <w:szCs w:val="24"/>
        </w:rPr>
        <w:t xml:space="preserve">Gotti A. (2012), </w:t>
      </w:r>
      <w:r w:rsidRPr="00FB3143">
        <w:rPr>
          <w:i/>
          <w:sz w:val="24"/>
          <w:szCs w:val="24"/>
        </w:rPr>
        <w:t>Gli '</w:t>
      </w:r>
      <w:proofErr w:type="spellStart"/>
      <w:r w:rsidRPr="00FB3143">
        <w:rPr>
          <w:i/>
          <w:sz w:val="24"/>
          <w:szCs w:val="24"/>
        </w:rPr>
        <w:t>institutional</w:t>
      </w:r>
      <w:proofErr w:type="spellEnd"/>
      <w:r w:rsidRPr="00FB3143">
        <w:rPr>
          <w:i/>
          <w:sz w:val="24"/>
          <w:szCs w:val="24"/>
        </w:rPr>
        <w:t xml:space="preserve"> </w:t>
      </w:r>
      <w:proofErr w:type="spellStart"/>
      <w:r w:rsidRPr="00FB3143">
        <w:rPr>
          <w:i/>
          <w:sz w:val="24"/>
          <w:szCs w:val="24"/>
        </w:rPr>
        <w:t>repository</w:t>
      </w:r>
      <w:proofErr w:type="spellEnd"/>
      <w:r w:rsidRPr="00FB3143">
        <w:rPr>
          <w:i/>
          <w:sz w:val="24"/>
          <w:szCs w:val="24"/>
        </w:rPr>
        <w:t xml:space="preserve">' delle </w:t>
      </w:r>
      <w:r w:rsidR="00F76143" w:rsidRPr="00FB3143">
        <w:rPr>
          <w:i/>
          <w:sz w:val="24"/>
          <w:szCs w:val="24"/>
        </w:rPr>
        <w:t>università</w:t>
      </w:r>
      <w:r w:rsidRPr="00FB3143">
        <w:rPr>
          <w:i/>
          <w:sz w:val="24"/>
          <w:szCs w:val="24"/>
        </w:rPr>
        <w:t xml:space="preserve"> italiane. Una nota</w:t>
      </w:r>
      <w:r w:rsidRPr="00FB3143">
        <w:rPr>
          <w:sz w:val="24"/>
          <w:szCs w:val="24"/>
        </w:rPr>
        <w:t>, «</w:t>
      </w:r>
      <w:proofErr w:type="spellStart"/>
      <w:r w:rsidRPr="00FB3143">
        <w:rPr>
          <w:sz w:val="24"/>
          <w:szCs w:val="24"/>
        </w:rPr>
        <w:t>Bibliotime</w:t>
      </w:r>
      <w:proofErr w:type="spellEnd"/>
      <w:r w:rsidRPr="00FB3143">
        <w:rPr>
          <w:sz w:val="24"/>
          <w:szCs w:val="24"/>
        </w:rPr>
        <w:t xml:space="preserve">», anno </w:t>
      </w:r>
    </w:p>
    <w:p w14:paraId="102053EB" w14:textId="1EF17164" w:rsidR="004A0706" w:rsidRPr="00FB3143" w:rsidRDefault="004A0706" w:rsidP="00B645A7">
      <w:pPr>
        <w:spacing w:after="0" w:line="240" w:lineRule="auto"/>
        <w:ind w:left="708"/>
        <w:jc w:val="both"/>
        <w:rPr>
          <w:sz w:val="24"/>
          <w:szCs w:val="24"/>
        </w:rPr>
      </w:pPr>
      <w:r w:rsidRPr="00FB3143">
        <w:rPr>
          <w:sz w:val="24"/>
          <w:szCs w:val="24"/>
        </w:rPr>
        <w:t>XV, numero 1, marzo 2012, &lt;http://www.aib.it/</w:t>
      </w:r>
      <w:proofErr w:type="spellStart"/>
      <w:r w:rsidRPr="00FB3143">
        <w:rPr>
          <w:sz w:val="24"/>
          <w:szCs w:val="24"/>
        </w:rPr>
        <w:t>aib</w:t>
      </w:r>
      <w:proofErr w:type="spellEnd"/>
      <w:r w:rsidRPr="00FB3143">
        <w:rPr>
          <w:sz w:val="24"/>
          <w:szCs w:val="24"/>
        </w:rPr>
        <w:t>/sezioni/</w:t>
      </w:r>
      <w:proofErr w:type="spellStart"/>
      <w:r w:rsidRPr="00FB3143">
        <w:rPr>
          <w:sz w:val="24"/>
          <w:szCs w:val="24"/>
        </w:rPr>
        <w:t>emr</w:t>
      </w:r>
      <w:proofErr w:type="spellEnd"/>
      <w:r w:rsidRPr="00FB3143">
        <w:rPr>
          <w:sz w:val="24"/>
          <w:szCs w:val="24"/>
        </w:rPr>
        <w:t>/</w:t>
      </w:r>
      <w:proofErr w:type="spellStart"/>
      <w:r w:rsidRPr="00FB3143">
        <w:rPr>
          <w:sz w:val="24"/>
          <w:szCs w:val="24"/>
        </w:rPr>
        <w:t>bibtime</w:t>
      </w:r>
      <w:proofErr w:type="spellEnd"/>
      <w:r w:rsidRPr="00FB3143">
        <w:rPr>
          <w:sz w:val="24"/>
          <w:szCs w:val="24"/>
        </w:rPr>
        <w:t>/num-xv-1/gotti.htm&gt;, 21.03.2018.</w:t>
      </w:r>
    </w:p>
    <w:p w14:paraId="602D8812" w14:textId="77777777" w:rsidR="00B645A7" w:rsidRDefault="004A0706" w:rsidP="004A0706">
      <w:pPr>
        <w:spacing w:after="0" w:line="240" w:lineRule="auto"/>
        <w:jc w:val="both"/>
        <w:rPr>
          <w:sz w:val="24"/>
          <w:szCs w:val="24"/>
        </w:rPr>
      </w:pPr>
      <w:r w:rsidRPr="00FB3143">
        <w:rPr>
          <w:sz w:val="24"/>
          <w:szCs w:val="24"/>
        </w:rPr>
        <w:t xml:space="preserve">Guerrini M. (2010), </w:t>
      </w:r>
      <w:r w:rsidRPr="00FB3143">
        <w:rPr>
          <w:i/>
          <w:sz w:val="24"/>
          <w:szCs w:val="24"/>
        </w:rPr>
        <w:t xml:space="preserve">Gli archivi istituzionali Open </w:t>
      </w:r>
      <w:proofErr w:type="spellStart"/>
      <w:r w:rsidRPr="00FB3143">
        <w:rPr>
          <w:i/>
          <w:sz w:val="24"/>
          <w:szCs w:val="24"/>
        </w:rPr>
        <w:t>access</w:t>
      </w:r>
      <w:proofErr w:type="spellEnd"/>
      <w:r w:rsidRPr="00FB3143">
        <w:rPr>
          <w:i/>
          <w:sz w:val="24"/>
          <w:szCs w:val="24"/>
        </w:rPr>
        <w:t>, valutazione della ricerca e diritto d’autore</w:t>
      </w:r>
      <w:r w:rsidRPr="00FB3143">
        <w:rPr>
          <w:sz w:val="24"/>
          <w:szCs w:val="24"/>
        </w:rPr>
        <w:t xml:space="preserve">, </w:t>
      </w:r>
    </w:p>
    <w:p w14:paraId="0D63B336" w14:textId="702F4316" w:rsidR="004A0706" w:rsidRDefault="004A0706" w:rsidP="00B645A7">
      <w:pPr>
        <w:spacing w:after="0" w:line="240" w:lineRule="auto"/>
        <w:ind w:firstLine="708"/>
        <w:jc w:val="both"/>
        <w:rPr>
          <w:sz w:val="24"/>
          <w:szCs w:val="24"/>
        </w:rPr>
      </w:pPr>
      <w:r w:rsidRPr="00FB3143">
        <w:rPr>
          <w:sz w:val="24"/>
          <w:szCs w:val="24"/>
        </w:rPr>
        <w:t>Milano: Editrice Bibliografica.</w:t>
      </w:r>
    </w:p>
    <w:p w14:paraId="1D856947" w14:textId="0F4B90C2" w:rsidR="00E95494" w:rsidRDefault="00E95494" w:rsidP="004A0706">
      <w:pPr>
        <w:spacing w:after="0" w:line="240" w:lineRule="auto"/>
        <w:jc w:val="both"/>
        <w:rPr>
          <w:sz w:val="24"/>
          <w:szCs w:val="24"/>
        </w:rPr>
      </w:pPr>
      <w:r>
        <w:rPr>
          <w:sz w:val="24"/>
          <w:szCs w:val="24"/>
        </w:rPr>
        <w:t>ROARMAP &lt;</w:t>
      </w:r>
      <w:r w:rsidRPr="00E95494">
        <w:rPr>
          <w:sz w:val="24"/>
          <w:szCs w:val="24"/>
        </w:rPr>
        <w:t>http://roarmap.eprints.org/</w:t>
      </w:r>
      <w:r>
        <w:rPr>
          <w:sz w:val="24"/>
          <w:szCs w:val="24"/>
        </w:rPr>
        <w:t>&gt;, 19.03.2018.</w:t>
      </w:r>
    </w:p>
    <w:p w14:paraId="710B3EEB" w14:textId="7D47D026" w:rsidR="0041555B" w:rsidRPr="00FB3143" w:rsidRDefault="0041555B" w:rsidP="004A0706">
      <w:pPr>
        <w:spacing w:after="0" w:line="240" w:lineRule="auto"/>
        <w:jc w:val="both"/>
        <w:rPr>
          <w:sz w:val="24"/>
          <w:szCs w:val="24"/>
        </w:rPr>
      </w:pPr>
      <w:r>
        <w:rPr>
          <w:sz w:val="24"/>
          <w:szCs w:val="24"/>
        </w:rPr>
        <w:t>Sherpa/</w:t>
      </w:r>
      <w:proofErr w:type="spellStart"/>
      <w:r>
        <w:rPr>
          <w:sz w:val="24"/>
          <w:szCs w:val="24"/>
        </w:rPr>
        <w:t>RoMEO</w:t>
      </w:r>
      <w:proofErr w:type="spellEnd"/>
      <w:r>
        <w:rPr>
          <w:sz w:val="24"/>
          <w:szCs w:val="24"/>
        </w:rPr>
        <w:t xml:space="preserve"> &lt;</w:t>
      </w:r>
      <w:r w:rsidRPr="0041555B">
        <w:t>h</w:t>
      </w:r>
      <w:r w:rsidRPr="0041555B">
        <w:rPr>
          <w:sz w:val="24"/>
          <w:szCs w:val="24"/>
        </w:rPr>
        <w:t>ttp://www.sherpa.ac.uk/romeo/</w:t>
      </w:r>
      <w:proofErr w:type="spellStart"/>
      <w:r w:rsidRPr="0041555B">
        <w:rPr>
          <w:sz w:val="24"/>
          <w:szCs w:val="24"/>
        </w:rPr>
        <w:t>index.phR</w:t>
      </w:r>
      <w:proofErr w:type="spellEnd"/>
      <w:r>
        <w:rPr>
          <w:sz w:val="24"/>
          <w:szCs w:val="24"/>
        </w:rPr>
        <w:t>&gt;, 21.03.2018.</w:t>
      </w:r>
    </w:p>
    <w:p w14:paraId="35C99663" w14:textId="77777777" w:rsidR="004A0706" w:rsidRPr="00FB3143" w:rsidRDefault="004A0706" w:rsidP="004A0706">
      <w:pPr>
        <w:spacing w:after="0" w:line="240" w:lineRule="auto"/>
        <w:jc w:val="both"/>
        <w:rPr>
          <w:sz w:val="24"/>
          <w:szCs w:val="24"/>
          <w:lang w:val="en-GB"/>
        </w:rPr>
      </w:pPr>
      <w:proofErr w:type="spellStart"/>
      <w:r w:rsidRPr="00FB3143">
        <w:rPr>
          <w:sz w:val="24"/>
          <w:szCs w:val="24"/>
          <w:lang w:val="en-GB"/>
        </w:rPr>
        <w:t>Suber</w:t>
      </w:r>
      <w:proofErr w:type="spellEnd"/>
      <w:r w:rsidRPr="00FB3143">
        <w:rPr>
          <w:sz w:val="24"/>
          <w:szCs w:val="24"/>
          <w:lang w:val="en-GB"/>
        </w:rPr>
        <w:t xml:space="preserve"> P. (2012), </w:t>
      </w:r>
      <w:r w:rsidRPr="00FB3143">
        <w:rPr>
          <w:i/>
          <w:sz w:val="24"/>
          <w:szCs w:val="24"/>
          <w:lang w:val="en-GB"/>
        </w:rPr>
        <w:t>Open Access</w:t>
      </w:r>
      <w:r w:rsidRPr="00FB3143">
        <w:rPr>
          <w:sz w:val="24"/>
          <w:szCs w:val="24"/>
          <w:lang w:val="en-GB"/>
        </w:rPr>
        <w:t>, Cambridge: MIT Press.</w:t>
      </w:r>
    </w:p>
    <w:p w14:paraId="57E4BC95" w14:textId="77777777" w:rsidR="00B645A7" w:rsidRDefault="004A0706" w:rsidP="004A0706">
      <w:pPr>
        <w:spacing w:after="0" w:line="240" w:lineRule="auto"/>
        <w:jc w:val="both"/>
        <w:rPr>
          <w:i/>
          <w:sz w:val="24"/>
          <w:szCs w:val="24"/>
        </w:rPr>
      </w:pPr>
      <w:proofErr w:type="spellStart"/>
      <w:r w:rsidRPr="00FB3143">
        <w:rPr>
          <w:sz w:val="24"/>
          <w:szCs w:val="24"/>
        </w:rPr>
        <w:t>Vetrò</w:t>
      </w:r>
      <w:proofErr w:type="spellEnd"/>
      <w:r w:rsidRPr="00FB3143">
        <w:rPr>
          <w:sz w:val="24"/>
          <w:szCs w:val="24"/>
        </w:rPr>
        <w:t xml:space="preserve"> A., Bianco M. (2016</w:t>
      </w:r>
      <w:r w:rsidRPr="00FB3143">
        <w:rPr>
          <w:i/>
          <w:sz w:val="24"/>
          <w:szCs w:val="24"/>
        </w:rPr>
        <w:t xml:space="preserve">), Policy Open Access delle </w:t>
      </w:r>
      <w:r w:rsidR="00F76143" w:rsidRPr="00FB3143">
        <w:rPr>
          <w:i/>
          <w:sz w:val="24"/>
          <w:szCs w:val="24"/>
        </w:rPr>
        <w:t>università</w:t>
      </w:r>
      <w:r w:rsidRPr="00FB3143">
        <w:rPr>
          <w:i/>
          <w:sz w:val="24"/>
          <w:szCs w:val="24"/>
        </w:rPr>
        <w:t xml:space="preserve"> italiane: comparazione, relazione </w:t>
      </w:r>
    </w:p>
    <w:p w14:paraId="555B6D25" w14:textId="77777777" w:rsidR="00B645A7" w:rsidRDefault="004A0706" w:rsidP="00B645A7">
      <w:pPr>
        <w:spacing w:after="0" w:line="240" w:lineRule="auto"/>
        <w:ind w:firstLine="708"/>
        <w:jc w:val="both"/>
        <w:rPr>
          <w:sz w:val="24"/>
          <w:szCs w:val="24"/>
        </w:rPr>
      </w:pPr>
      <w:r w:rsidRPr="00FB3143">
        <w:rPr>
          <w:i/>
          <w:sz w:val="24"/>
          <w:szCs w:val="24"/>
        </w:rPr>
        <w:t xml:space="preserve">con le best </w:t>
      </w:r>
      <w:proofErr w:type="spellStart"/>
      <w:r w:rsidRPr="00FB3143">
        <w:rPr>
          <w:i/>
          <w:sz w:val="24"/>
          <w:szCs w:val="24"/>
        </w:rPr>
        <w:t>practice</w:t>
      </w:r>
      <w:proofErr w:type="spellEnd"/>
      <w:r w:rsidRPr="00FB3143">
        <w:rPr>
          <w:i/>
          <w:sz w:val="24"/>
          <w:szCs w:val="24"/>
        </w:rPr>
        <w:t xml:space="preserve"> e raccomandazioni, </w:t>
      </w:r>
      <w:r w:rsidRPr="00FB3143">
        <w:rPr>
          <w:sz w:val="24"/>
          <w:szCs w:val="24"/>
        </w:rPr>
        <w:t xml:space="preserve">in </w:t>
      </w:r>
      <w:proofErr w:type="spellStart"/>
      <w:r w:rsidRPr="00FB3143">
        <w:rPr>
          <w:sz w:val="24"/>
          <w:szCs w:val="24"/>
        </w:rPr>
        <w:t>Zenodo</w:t>
      </w:r>
      <w:proofErr w:type="spellEnd"/>
      <w:r w:rsidRPr="00FB3143">
        <w:rPr>
          <w:sz w:val="24"/>
          <w:szCs w:val="24"/>
        </w:rPr>
        <w:t xml:space="preserve"> &lt;http://doi.org/10.5281/zenodo.51855&gt;, </w:t>
      </w:r>
    </w:p>
    <w:p w14:paraId="099AC51D" w14:textId="7D237C10" w:rsidR="004A0706" w:rsidRPr="00FB3143" w:rsidRDefault="004A0706" w:rsidP="00B645A7">
      <w:pPr>
        <w:spacing w:after="0" w:line="240" w:lineRule="auto"/>
        <w:ind w:left="708"/>
        <w:jc w:val="both"/>
        <w:rPr>
          <w:sz w:val="24"/>
          <w:szCs w:val="24"/>
        </w:rPr>
      </w:pPr>
      <w:r w:rsidRPr="00FB3143">
        <w:rPr>
          <w:sz w:val="24"/>
          <w:szCs w:val="24"/>
        </w:rPr>
        <w:t>24.03.2018.</w:t>
      </w:r>
    </w:p>
    <w:p w14:paraId="0A3CE81C" w14:textId="28B4B815" w:rsidR="008B3C78" w:rsidRPr="00FB3143" w:rsidRDefault="0041555B" w:rsidP="004A0706">
      <w:pPr>
        <w:spacing w:after="0" w:line="360" w:lineRule="auto"/>
        <w:rPr>
          <w:color w:val="000000" w:themeColor="text1"/>
          <w:sz w:val="24"/>
          <w:szCs w:val="24"/>
        </w:rPr>
      </w:pPr>
      <w:r>
        <w:rPr>
          <w:color w:val="000000" w:themeColor="text1"/>
          <w:sz w:val="24"/>
          <w:szCs w:val="24"/>
        </w:rPr>
        <w:t>Wiki Open Archive/</w:t>
      </w:r>
      <w:proofErr w:type="spellStart"/>
      <w:r>
        <w:rPr>
          <w:color w:val="000000" w:themeColor="text1"/>
          <w:sz w:val="24"/>
          <w:szCs w:val="24"/>
        </w:rPr>
        <w:t>italia</w:t>
      </w:r>
      <w:proofErr w:type="spellEnd"/>
      <w:r>
        <w:rPr>
          <w:color w:val="000000" w:themeColor="text1"/>
          <w:sz w:val="24"/>
          <w:szCs w:val="24"/>
        </w:rPr>
        <w:t xml:space="preserve"> &lt;</w:t>
      </w:r>
      <w:r w:rsidRPr="0041555B">
        <w:rPr>
          <w:color w:val="000000" w:themeColor="text1"/>
          <w:sz w:val="24"/>
          <w:szCs w:val="24"/>
        </w:rPr>
        <w:t>http://wikimedia.sp.unipi.it/</w:t>
      </w:r>
      <w:proofErr w:type="spellStart"/>
      <w:r w:rsidRPr="0041555B">
        <w:rPr>
          <w:color w:val="000000" w:themeColor="text1"/>
          <w:sz w:val="24"/>
          <w:szCs w:val="24"/>
        </w:rPr>
        <w:t>index.php?title</w:t>
      </w:r>
      <w:proofErr w:type="spellEnd"/>
      <w:r w:rsidRPr="0041555B">
        <w:rPr>
          <w:color w:val="000000" w:themeColor="text1"/>
          <w:sz w:val="24"/>
          <w:szCs w:val="24"/>
        </w:rPr>
        <w:t>=</w:t>
      </w:r>
      <w:proofErr w:type="spellStart"/>
      <w:r w:rsidRPr="0041555B">
        <w:rPr>
          <w:color w:val="000000" w:themeColor="text1"/>
          <w:sz w:val="24"/>
          <w:szCs w:val="24"/>
        </w:rPr>
        <w:t>OA_Italia</w:t>
      </w:r>
      <w:proofErr w:type="spellEnd"/>
      <w:r>
        <w:rPr>
          <w:color w:val="000000" w:themeColor="text1"/>
          <w:sz w:val="24"/>
          <w:szCs w:val="24"/>
        </w:rPr>
        <w:t>&gt;, 21.03.2018.</w:t>
      </w:r>
    </w:p>
    <w:p w14:paraId="5DA12A6D" w14:textId="77777777" w:rsidR="004A0706" w:rsidRPr="00FB3143" w:rsidRDefault="004A0706" w:rsidP="004A0706">
      <w:pPr>
        <w:spacing w:after="0" w:line="240" w:lineRule="auto"/>
        <w:ind w:firstLine="284"/>
        <w:jc w:val="both"/>
        <w:rPr>
          <w:rFonts w:eastAsia="Times New Roman" w:cs="Times New Roman"/>
          <w:color w:val="0070C0"/>
          <w:sz w:val="24"/>
          <w:szCs w:val="24"/>
          <w:lang w:eastAsia="it-IT"/>
        </w:rPr>
      </w:pPr>
    </w:p>
    <w:p w14:paraId="34C51312" w14:textId="05C9EBD0" w:rsidR="0081302F" w:rsidRDefault="0081302F" w:rsidP="0081302F">
      <w:pPr>
        <w:spacing w:after="0"/>
        <w:rPr>
          <w:i/>
          <w:sz w:val="24"/>
          <w:szCs w:val="24"/>
        </w:rPr>
      </w:pPr>
      <w:r w:rsidRPr="00E74EC8">
        <w:rPr>
          <w:i/>
          <w:sz w:val="24"/>
          <w:szCs w:val="24"/>
        </w:rPr>
        <w:t>Appendice</w:t>
      </w:r>
    </w:p>
    <w:p w14:paraId="2E682CF5" w14:textId="77777777" w:rsidR="00897E15" w:rsidRDefault="00897E15" w:rsidP="0081302F">
      <w:pPr>
        <w:spacing w:after="0"/>
        <w:rPr>
          <w:i/>
          <w:sz w:val="24"/>
          <w:szCs w:val="24"/>
        </w:rPr>
      </w:pPr>
    </w:p>
    <w:p w14:paraId="0779593B" w14:textId="7A5F2179" w:rsidR="0081302F" w:rsidRDefault="0081302F" w:rsidP="00074F6B">
      <w:pPr>
        <w:spacing w:after="0" w:line="240" w:lineRule="auto"/>
        <w:jc w:val="both"/>
      </w:pPr>
      <w:r w:rsidRPr="00E5314E">
        <w:t>Fig. 1. Europa: numero di Istituzioni ed Enti che hanno regolamenta</w:t>
      </w:r>
      <w:r>
        <w:t xml:space="preserve">to l’OA dal 2005 al 2017. </w:t>
      </w:r>
      <w:r w:rsidR="0046283E">
        <w:t>(</w:t>
      </w:r>
      <w:r>
        <w:t xml:space="preserve">Fonte </w:t>
      </w:r>
      <w:proofErr w:type="spellStart"/>
      <w:r w:rsidRPr="00E5314E">
        <w:t>Roarmap</w:t>
      </w:r>
      <w:proofErr w:type="spellEnd"/>
      <w:r w:rsidR="0046283E">
        <w:t>)</w:t>
      </w:r>
      <w:r w:rsidRPr="00E5314E">
        <w:t>.</w:t>
      </w:r>
    </w:p>
    <w:p w14:paraId="558E2C05" w14:textId="77777777" w:rsidR="00074F6B" w:rsidRDefault="00074F6B" w:rsidP="00074F6B">
      <w:pPr>
        <w:spacing w:after="0" w:line="240" w:lineRule="auto"/>
        <w:jc w:val="both"/>
      </w:pPr>
    </w:p>
    <w:p w14:paraId="5560EF0B" w14:textId="000401AF" w:rsidR="0081302F" w:rsidRDefault="0081302F" w:rsidP="00074F6B">
      <w:pPr>
        <w:spacing w:after="0" w:line="240" w:lineRule="auto"/>
        <w:jc w:val="both"/>
      </w:pPr>
      <w:r w:rsidRPr="00E74EC8">
        <w:t xml:space="preserve">Fig. 2. Italia: università che hanno adottato politiche sull’OA dal 2013 (i numeri indicati da 1 a 24 </w:t>
      </w:r>
      <w:r>
        <w:t xml:space="preserve">specificano </w:t>
      </w:r>
      <w:r w:rsidRPr="00E74EC8">
        <w:t>le Università second</w:t>
      </w:r>
      <w:r w:rsidR="00ED3184">
        <w:t>o l’elenco riportato in tabella 1</w:t>
      </w:r>
      <w:r w:rsidRPr="00E74EC8">
        <w:t xml:space="preserve">). </w:t>
      </w:r>
      <w:r w:rsidR="0046283E">
        <w:t>(</w:t>
      </w:r>
      <w:r w:rsidRPr="00E74EC8">
        <w:t>Fonte wiki OA/Italia, siti istituzionali e contatti diretti</w:t>
      </w:r>
      <w:r w:rsidR="0046283E">
        <w:t>)</w:t>
      </w:r>
      <w:bookmarkStart w:id="0" w:name="_GoBack"/>
      <w:bookmarkEnd w:id="0"/>
      <w:r w:rsidRPr="00E74EC8">
        <w:t>.</w:t>
      </w:r>
    </w:p>
    <w:p w14:paraId="6E69F75A" w14:textId="77777777" w:rsidR="00074F6B" w:rsidRDefault="00074F6B" w:rsidP="00074F6B">
      <w:pPr>
        <w:spacing w:after="0" w:line="240" w:lineRule="auto"/>
        <w:jc w:val="both"/>
      </w:pPr>
    </w:p>
    <w:p w14:paraId="02BF6532" w14:textId="724323AA" w:rsidR="0081302F" w:rsidRDefault="0081302F" w:rsidP="00074F6B">
      <w:pPr>
        <w:spacing w:after="0" w:line="240" w:lineRule="auto"/>
        <w:jc w:val="both"/>
      </w:pPr>
      <w:r w:rsidRPr="00DC47F8">
        <w:t>Fig. 3. Università italiane e scelta fra policy (P), regolamento (R) e linea guida o di indirizzo (L).</w:t>
      </w:r>
    </w:p>
    <w:p w14:paraId="14BC2739" w14:textId="77777777" w:rsidR="00074F6B" w:rsidRPr="00E74EC8" w:rsidRDefault="00074F6B" w:rsidP="00074F6B">
      <w:pPr>
        <w:spacing w:after="0" w:line="240" w:lineRule="auto"/>
        <w:jc w:val="both"/>
      </w:pPr>
    </w:p>
    <w:p w14:paraId="6796DCAA" w14:textId="77777777" w:rsidR="00074F6B" w:rsidRDefault="00074F6B" w:rsidP="00074F6B">
      <w:pPr>
        <w:spacing w:after="0" w:line="240" w:lineRule="auto"/>
        <w:jc w:val="both"/>
      </w:pPr>
      <w:r w:rsidRPr="00DC47F8">
        <w:t xml:space="preserve">Fig. </w:t>
      </w:r>
      <w:r>
        <w:t>4</w:t>
      </w:r>
      <w:r w:rsidRPr="00DC47F8">
        <w:t>. Università italiane e momento in cui si richiede di provvedere al deposito.</w:t>
      </w:r>
      <w:r>
        <w:t xml:space="preserve"> Accettazione (A), Pubblicazione (P), Accettazione o Pubblicazione (AP), con ritardo massimo rispetto alla pubblicazione (RP) o all’accettazione (RA), non specificato (NS).</w:t>
      </w:r>
    </w:p>
    <w:p w14:paraId="6387B61B" w14:textId="77777777" w:rsidR="00074F6B" w:rsidRPr="00DC47F8" w:rsidRDefault="00074F6B" w:rsidP="00074F6B">
      <w:pPr>
        <w:spacing w:after="0" w:line="240" w:lineRule="auto"/>
        <w:jc w:val="both"/>
      </w:pPr>
    </w:p>
    <w:p w14:paraId="4341EC1D" w14:textId="150A33C5" w:rsidR="0081302F" w:rsidRDefault="0081302F" w:rsidP="00074F6B">
      <w:pPr>
        <w:spacing w:after="0" w:line="240" w:lineRule="auto"/>
        <w:jc w:val="both"/>
      </w:pPr>
      <w:r w:rsidRPr="00F12263">
        <w:t xml:space="preserve">Fig. 5. Università italiane e previsione di organi politici in materia di OA Commissione (C), Organo </w:t>
      </w:r>
      <w:r>
        <w:t xml:space="preserve">previsto </w:t>
      </w:r>
      <w:r w:rsidRPr="00F12263">
        <w:t>ma non istituito immediatamente (P), Delegato all’OA (D), Non Specificato (NS)</w:t>
      </w:r>
      <w:r w:rsidR="00074F6B">
        <w:t>.</w:t>
      </w:r>
    </w:p>
    <w:p w14:paraId="4370CE47" w14:textId="77777777" w:rsidR="00074F6B" w:rsidRPr="00F12263" w:rsidRDefault="00074F6B" w:rsidP="00074F6B">
      <w:pPr>
        <w:spacing w:after="0" w:line="240" w:lineRule="auto"/>
        <w:jc w:val="both"/>
      </w:pPr>
    </w:p>
    <w:p w14:paraId="530BE273" w14:textId="59A65F18" w:rsidR="0081302F" w:rsidRPr="00F12263" w:rsidRDefault="0081302F" w:rsidP="00074F6B">
      <w:pPr>
        <w:spacing w:after="0" w:line="240" w:lineRule="auto"/>
        <w:jc w:val="both"/>
      </w:pPr>
      <w:r w:rsidRPr="00F12263">
        <w:t>Fig. 6. Università italiane e previsione di organi tecnici in materia di OA</w:t>
      </w:r>
      <w:r w:rsidR="00074F6B">
        <w:t>.</w:t>
      </w:r>
      <w:r w:rsidRPr="00F12263">
        <w:t xml:space="preserve"> </w:t>
      </w:r>
    </w:p>
    <w:p w14:paraId="7D1E1A56" w14:textId="77777777" w:rsidR="00074F6B" w:rsidRDefault="00074F6B" w:rsidP="00897E15">
      <w:pPr>
        <w:spacing w:line="240" w:lineRule="auto"/>
      </w:pPr>
    </w:p>
    <w:p w14:paraId="187FB256" w14:textId="5E9B0BBC" w:rsidR="00897E15" w:rsidRDefault="00897E15" w:rsidP="00897E15">
      <w:pPr>
        <w:spacing w:line="240" w:lineRule="auto"/>
      </w:pPr>
      <w:proofErr w:type="spellStart"/>
      <w:r w:rsidRPr="00DC47F8">
        <w:t>Tab</w:t>
      </w:r>
      <w:proofErr w:type="spellEnd"/>
      <w:r w:rsidRPr="00DC47F8">
        <w:t xml:space="preserve">. </w:t>
      </w:r>
      <w:r>
        <w:t>1.</w:t>
      </w:r>
      <w:r w:rsidRPr="00DC47F8">
        <w:t xml:space="preserve"> Le università italiane che hanno adottato una politica sull’OA fino al 2017. Confronto con quelle censite in </w:t>
      </w:r>
      <w:proofErr w:type="spellStart"/>
      <w:r w:rsidRPr="00DC47F8">
        <w:t>Roarmap</w:t>
      </w:r>
      <w:proofErr w:type="spellEnd"/>
      <w:r w:rsidRPr="00DC47F8">
        <w:t xml:space="preserve"> a </w:t>
      </w:r>
      <w:proofErr w:type="gramStart"/>
      <w:r w:rsidRPr="00DC47F8">
        <w:t>Febbraio</w:t>
      </w:r>
      <w:proofErr w:type="gramEnd"/>
      <w:r w:rsidRPr="00DC47F8">
        <w:t xml:space="preserve"> 2018 [1] e in </w:t>
      </w:r>
      <w:proofErr w:type="spellStart"/>
      <w:r w:rsidRPr="00DC47F8">
        <w:t>Vetrò</w:t>
      </w:r>
      <w:proofErr w:type="spellEnd"/>
      <w:r w:rsidRPr="00DC47F8">
        <w:t xml:space="preserve"> e Bianco [2].</w:t>
      </w:r>
    </w:p>
    <w:p w14:paraId="3407EAA8" w14:textId="77777777" w:rsidR="00897E15" w:rsidRPr="00ED3184" w:rsidRDefault="00897E15" w:rsidP="00897E15">
      <w:pPr>
        <w:spacing w:after="0" w:line="240" w:lineRule="auto"/>
        <w:jc w:val="both"/>
        <w:rPr>
          <w:rFonts w:eastAsia="Times New Roman" w:cs="Times New Roman"/>
          <w:color w:val="000000"/>
          <w:lang w:eastAsia="it-IT"/>
        </w:rPr>
      </w:pPr>
      <w:proofErr w:type="spellStart"/>
      <w:r w:rsidRPr="00ED3184">
        <w:rPr>
          <w:rFonts w:eastAsia="Times New Roman" w:cs="Times New Roman"/>
          <w:color w:val="000000"/>
          <w:lang w:eastAsia="it-IT"/>
        </w:rPr>
        <w:t>Tab</w:t>
      </w:r>
      <w:proofErr w:type="spellEnd"/>
      <w:r w:rsidRPr="00ED3184">
        <w:rPr>
          <w:rFonts w:eastAsia="Times New Roman" w:cs="Times New Roman"/>
          <w:color w:val="000000"/>
          <w:lang w:eastAsia="it-IT"/>
        </w:rPr>
        <w:t>. 2. Risultati dell’analisi condotta sui 24 atenei italiani che hanno definito una politica per l’OA. S</w:t>
      </w:r>
      <w:r w:rsidRPr="00ED3184">
        <w:t>ono riassu</w:t>
      </w:r>
      <w:r>
        <w:t>nte le caratteristiche rilevate, g</w:t>
      </w:r>
      <w:r w:rsidRPr="00ED3184">
        <w:t xml:space="preserve">li Atenei sono stati indicati con un numero (si veda tabella 1) mentre le caratteristiche e i significati degli indicatori che sono stati considerati sono di seguito descritti. </w:t>
      </w:r>
    </w:p>
    <w:p w14:paraId="2EC20C65" w14:textId="77777777" w:rsidR="00897E15" w:rsidRPr="00ED3184" w:rsidRDefault="00897E15" w:rsidP="00897E15">
      <w:pPr>
        <w:pStyle w:val="Paragrafoelenco"/>
        <w:numPr>
          <w:ilvl w:val="0"/>
          <w:numId w:val="22"/>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MECCANISMI DI APPROVAZIONE DEI DOCUMENTI: [si] i documenti sono stati approvati dal Senato Accademico delle università</w:t>
      </w:r>
      <w:r w:rsidRPr="00ED3184">
        <w:rPr>
          <w:rFonts w:eastAsia="Times New Roman" w:cs="Times New Roman"/>
          <w:color w:val="0070C0"/>
          <w:lang w:eastAsia="it-IT"/>
        </w:rPr>
        <w:t xml:space="preserve"> </w:t>
      </w:r>
    </w:p>
    <w:p w14:paraId="65623E9A" w14:textId="77777777" w:rsidR="00897E15" w:rsidRPr="00ED3184" w:rsidRDefault="00897E15" w:rsidP="00897E15">
      <w:pPr>
        <w:pStyle w:val="Paragrafoelenco"/>
        <w:numPr>
          <w:ilvl w:val="0"/>
          <w:numId w:val="22"/>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NOME DATO AL DOCUMENTO: [R] regolamento, [P] policy, [L] linee (guida o di indirizzo)</w:t>
      </w:r>
    </w:p>
    <w:p w14:paraId="050897D4" w14:textId="77777777" w:rsidR="00897E15" w:rsidRPr="00ED3184" w:rsidRDefault="00897E15" w:rsidP="00897E15">
      <w:pPr>
        <w:pStyle w:val="Paragrafoelenco"/>
        <w:numPr>
          <w:ilvl w:val="0"/>
          <w:numId w:val="22"/>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OBBLIGATORIETA’ DEL DEPOSITO: [O] il deposito è obbligatorio</w:t>
      </w:r>
    </w:p>
    <w:p w14:paraId="35B5597D" w14:textId="77777777" w:rsidR="00897E15" w:rsidRPr="00ED3184" w:rsidRDefault="00897E15" w:rsidP="00897E15">
      <w:pPr>
        <w:pStyle w:val="Paragrafoelenco"/>
        <w:numPr>
          <w:ilvl w:val="0"/>
          <w:numId w:val="22"/>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LUOGO IN CUI AVVIENE IL DEPOSITO: [AI] nell’archivio istituzionale</w:t>
      </w:r>
    </w:p>
    <w:p w14:paraId="0936D01A" w14:textId="77777777" w:rsidR="00897E15" w:rsidRPr="00ED3184" w:rsidRDefault="00897E15" w:rsidP="00897E15">
      <w:pPr>
        <w:pStyle w:val="Paragrafoelenco"/>
        <w:numPr>
          <w:ilvl w:val="0"/>
          <w:numId w:val="22"/>
        </w:numPr>
        <w:spacing w:line="240" w:lineRule="auto"/>
        <w:jc w:val="both"/>
        <w:rPr>
          <w:rFonts w:eastAsia="Times New Roman" w:cs="Times New Roman"/>
          <w:color w:val="000000"/>
          <w:lang w:eastAsia="it-IT"/>
        </w:rPr>
      </w:pPr>
      <w:r w:rsidRPr="00ED3184">
        <w:lastRenderedPageBreak/>
        <w:t>DEPOSITO OBBLIGATORIO PER LA VALUTAZIONE INTERNA ED ESTERNA: [OV] obbligatorio ai fini della valutazione, [NS] non specificato</w:t>
      </w:r>
    </w:p>
    <w:p w14:paraId="16DA380F" w14:textId="77777777" w:rsidR="00897E15" w:rsidRPr="00ED3184" w:rsidRDefault="00897E15" w:rsidP="00897E15">
      <w:pPr>
        <w:pStyle w:val="Paragrafoelenco"/>
        <w:numPr>
          <w:ilvl w:val="0"/>
          <w:numId w:val="22"/>
        </w:numPr>
        <w:spacing w:line="240" w:lineRule="auto"/>
        <w:jc w:val="both"/>
        <w:rPr>
          <w:rFonts w:eastAsia="Times New Roman" w:cs="Times New Roman"/>
          <w:color w:val="000000"/>
          <w:lang w:eastAsia="it-IT"/>
        </w:rPr>
      </w:pPr>
      <w:r w:rsidRPr="00ED3184">
        <w:t>MOMENTO DI AVVIO DELLA PROCEDURA DI DEPOSITO: [A] al momento dell’accettazione, [P] al momento della pubblicazione, [RP] con un ritardo massimo stabilito rispetto al momento della pubblicazione (ad esempio entro 12 mesi) o [AP] quando si ha notizia dell’accettazione o della pubblicazione, o, infine, entro un certo periodo dalla notizia dell’accettazione [RA]. [NS] quando non specificato.</w:t>
      </w:r>
    </w:p>
    <w:p w14:paraId="4CA55D48" w14:textId="77777777" w:rsidR="00897E15" w:rsidRPr="00ED3184" w:rsidRDefault="00897E15" w:rsidP="00897E15">
      <w:pPr>
        <w:pStyle w:val="Paragrafoelenco"/>
        <w:numPr>
          <w:ilvl w:val="0"/>
          <w:numId w:val="22"/>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ISTITUZIONE DI UN ORGANO POLITICO: [C] è istituita una Commissione d’ateneo, [NS] nulla è specificato a tal proposito nel documento, [P] previsto ma non immediatamente istituito, [D] si istituisce il delegato del Rettore per l’Accesso Aperto</w:t>
      </w:r>
    </w:p>
    <w:p w14:paraId="7EF87815" w14:textId="77777777" w:rsidR="00897E15" w:rsidRPr="00ED3184" w:rsidRDefault="00897E15" w:rsidP="00897E15">
      <w:pPr>
        <w:pStyle w:val="Paragrafoelenco"/>
        <w:numPr>
          <w:ilvl w:val="0"/>
          <w:numId w:val="22"/>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ISTITUZIONE DI UN ORGANO TECNICO: [G] è istituito un gruppo di lavoro, [NS] nessun organo è istituito nel documento, [P] previsto ma non immediatamente istituito, [S] è istituito uno staff di supporto</w:t>
      </w:r>
    </w:p>
    <w:p w14:paraId="1E0B56A6" w14:textId="77777777" w:rsidR="00897E15" w:rsidRPr="00E5314E" w:rsidRDefault="00897E15" w:rsidP="0081302F">
      <w:pPr>
        <w:spacing w:line="240" w:lineRule="auto"/>
        <w:ind w:left="568" w:hanging="284"/>
        <w:jc w:val="both"/>
      </w:pPr>
    </w:p>
    <w:p w14:paraId="0749F073" w14:textId="7F2FD02C" w:rsidR="0081302F" w:rsidRPr="00E74EC8" w:rsidRDefault="00074F6B" w:rsidP="0081302F">
      <w:pPr>
        <w:spacing w:after="0"/>
        <w:rPr>
          <w:i/>
          <w:sz w:val="24"/>
          <w:szCs w:val="24"/>
        </w:rPr>
      </w:pPr>
      <w:r>
        <w:rPr>
          <w:i/>
          <w:sz w:val="24"/>
          <w:szCs w:val="24"/>
        </w:rPr>
        <w:t>Figure e tabelle come immagini</w:t>
      </w:r>
    </w:p>
    <w:p w14:paraId="3A9A2180" w14:textId="77777777" w:rsidR="0081302F" w:rsidRDefault="0081302F" w:rsidP="0081302F">
      <w:pPr>
        <w:spacing w:after="0"/>
        <w:rPr>
          <w:sz w:val="24"/>
          <w:szCs w:val="24"/>
        </w:rPr>
      </w:pPr>
    </w:p>
    <w:p w14:paraId="46040E68" w14:textId="16987D3E" w:rsidR="0081302F" w:rsidRDefault="00897E15" w:rsidP="0081302F">
      <w:pPr>
        <w:spacing w:after="0"/>
        <w:rPr>
          <w:sz w:val="24"/>
          <w:szCs w:val="24"/>
        </w:rPr>
      </w:pPr>
      <w:r w:rsidRPr="00897E15">
        <w:rPr>
          <w:noProof/>
          <w:sz w:val="24"/>
          <w:szCs w:val="24"/>
          <w:lang w:eastAsia="it-IT"/>
        </w:rPr>
        <w:drawing>
          <wp:inline distT="0" distB="0" distL="0" distR="0" wp14:anchorId="1E3A7BFB" wp14:editId="0EFE5511">
            <wp:extent cx="5267325" cy="2723055"/>
            <wp:effectExtent l="0" t="0" r="0" b="1270"/>
            <wp:docPr id="9" name="Immagine 9" descr="C:\Users\Elisabetta\Desktop\paper OA\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isabetta\Desktop\paper OA\fig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631" cy="2726832"/>
                    </a:xfrm>
                    <a:prstGeom prst="rect">
                      <a:avLst/>
                    </a:prstGeom>
                    <a:noFill/>
                    <a:ln>
                      <a:noFill/>
                    </a:ln>
                  </pic:spPr>
                </pic:pic>
              </a:graphicData>
            </a:graphic>
          </wp:inline>
        </w:drawing>
      </w:r>
    </w:p>
    <w:p w14:paraId="02EEE2DE" w14:textId="5F443344" w:rsidR="00B645A7" w:rsidRDefault="00B645A7" w:rsidP="00B645A7">
      <w:pPr>
        <w:spacing w:after="0" w:line="240" w:lineRule="auto"/>
        <w:ind w:left="284"/>
        <w:jc w:val="both"/>
      </w:pPr>
      <w:r w:rsidRPr="00E5314E">
        <w:t>Fig. 1. Europa: numero di Istituzioni ed Enti che hanno regolamenta</w:t>
      </w:r>
      <w:r w:rsidR="00074F6B">
        <w:t>to l’OA dal 2005 al 2017. (</w:t>
      </w:r>
      <w:r>
        <w:t xml:space="preserve">Fonte </w:t>
      </w:r>
      <w:proofErr w:type="spellStart"/>
      <w:r w:rsidR="00074F6B">
        <w:t>Roarmap</w:t>
      </w:r>
      <w:proofErr w:type="spellEnd"/>
      <w:r w:rsidR="00074F6B">
        <w:t>).</w:t>
      </w:r>
    </w:p>
    <w:p w14:paraId="151F05F5" w14:textId="21820C48" w:rsidR="0081302F" w:rsidRDefault="0081302F" w:rsidP="0081302F">
      <w:pPr>
        <w:spacing w:after="0"/>
        <w:rPr>
          <w:sz w:val="24"/>
          <w:szCs w:val="24"/>
        </w:rPr>
      </w:pPr>
    </w:p>
    <w:p w14:paraId="151DF164" w14:textId="77777777" w:rsidR="00B645A7" w:rsidRDefault="00B645A7" w:rsidP="0081302F">
      <w:pPr>
        <w:spacing w:after="0"/>
        <w:rPr>
          <w:sz w:val="24"/>
          <w:szCs w:val="24"/>
        </w:rPr>
      </w:pPr>
    </w:p>
    <w:p w14:paraId="623436D5" w14:textId="302DCC5E" w:rsidR="0081302F" w:rsidRDefault="00897E15" w:rsidP="0081302F">
      <w:pPr>
        <w:spacing w:after="0"/>
        <w:rPr>
          <w:sz w:val="24"/>
          <w:szCs w:val="24"/>
        </w:rPr>
      </w:pPr>
      <w:r w:rsidRPr="00897E15">
        <w:rPr>
          <w:noProof/>
          <w:sz w:val="24"/>
          <w:szCs w:val="24"/>
          <w:lang w:eastAsia="it-IT"/>
        </w:rPr>
        <w:lastRenderedPageBreak/>
        <w:drawing>
          <wp:inline distT="0" distB="0" distL="0" distR="0" wp14:anchorId="672E00A3" wp14:editId="55621E35">
            <wp:extent cx="6038850" cy="3286125"/>
            <wp:effectExtent l="0" t="0" r="0" b="9525"/>
            <wp:docPr id="14" name="Immagine 14" descr="C:\Users\Elisabetta\Desktop\paper OA\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sabetta\Desktop\paper OA\fig 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8850" cy="3286125"/>
                    </a:xfrm>
                    <a:prstGeom prst="rect">
                      <a:avLst/>
                    </a:prstGeom>
                    <a:noFill/>
                    <a:ln>
                      <a:noFill/>
                    </a:ln>
                  </pic:spPr>
                </pic:pic>
              </a:graphicData>
            </a:graphic>
          </wp:inline>
        </w:drawing>
      </w:r>
    </w:p>
    <w:p w14:paraId="0E729EB6" w14:textId="4FCB39EB" w:rsidR="00B645A7" w:rsidRDefault="00B645A7" w:rsidP="00B645A7">
      <w:pPr>
        <w:spacing w:after="0" w:line="240" w:lineRule="auto"/>
        <w:ind w:left="284"/>
        <w:jc w:val="both"/>
      </w:pPr>
      <w:r w:rsidRPr="00E74EC8">
        <w:t xml:space="preserve">Fig. 2. Italia: università che hanno adottato politiche sull’OA dal 2013 (i numeri indicati da 1 a 24 </w:t>
      </w:r>
      <w:r>
        <w:t xml:space="preserve">specificano </w:t>
      </w:r>
      <w:r w:rsidRPr="00E74EC8">
        <w:t>le Università second</w:t>
      </w:r>
      <w:r>
        <w:t>o l’elenco riportato in tabella 1</w:t>
      </w:r>
      <w:r w:rsidRPr="00E74EC8">
        <w:t xml:space="preserve">). </w:t>
      </w:r>
      <w:r w:rsidR="00074F6B">
        <w:t>(</w:t>
      </w:r>
      <w:r w:rsidRPr="00E74EC8">
        <w:t>Fonte wiki OA/Italia, siti i</w:t>
      </w:r>
      <w:r w:rsidR="00074F6B">
        <w:t>stituzionali e contatti diretti).</w:t>
      </w:r>
    </w:p>
    <w:p w14:paraId="13786A3B" w14:textId="77777777" w:rsidR="0081302F" w:rsidRDefault="0081302F" w:rsidP="0081302F">
      <w:pPr>
        <w:spacing w:after="0"/>
        <w:rPr>
          <w:sz w:val="24"/>
          <w:szCs w:val="24"/>
        </w:rPr>
      </w:pPr>
    </w:p>
    <w:p w14:paraId="0D90106F" w14:textId="77777777" w:rsidR="0081302F" w:rsidRDefault="0081302F" w:rsidP="0081302F">
      <w:pPr>
        <w:spacing w:after="0"/>
        <w:rPr>
          <w:sz w:val="24"/>
          <w:szCs w:val="24"/>
        </w:rPr>
      </w:pPr>
      <w:r w:rsidRPr="00DC47F8">
        <w:rPr>
          <w:noProof/>
          <w:sz w:val="24"/>
          <w:szCs w:val="24"/>
          <w:lang w:eastAsia="it-IT"/>
        </w:rPr>
        <w:drawing>
          <wp:inline distT="0" distB="0" distL="0" distR="0" wp14:anchorId="150DB4EA" wp14:editId="49E22FFA">
            <wp:extent cx="6120130" cy="3205387"/>
            <wp:effectExtent l="0" t="0" r="0" b="0"/>
            <wp:docPr id="5" name="Immagine 5" descr="C:\Users\Elisabetta\Desktop\paper OA\tab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abetta\Desktop\paper OA\tab 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205387"/>
                    </a:xfrm>
                    <a:prstGeom prst="rect">
                      <a:avLst/>
                    </a:prstGeom>
                    <a:noFill/>
                    <a:ln>
                      <a:noFill/>
                    </a:ln>
                  </pic:spPr>
                </pic:pic>
              </a:graphicData>
            </a:graphic>
          </wp:inline>
        </w:drawing>
      </w:r>
    </w:p>
    <w:p w14:paraId="430B8601" w14:textId="77777777" w:rsidR="00897E15" w:rsidRDefault="00897E15" w:rsidP="00897E15">
      <w:pPr>
        <w:spacing w:line="240" w:lineRule="auto"/>
      </w:pPr>
      <w:proofErr w:type="spellStart"/>
      <w:r w:rsidRPr="00DC47F8">
        <w:t>Tab</w:t>
      </w:r>
      <w:proofErr w:type="spellEnd"/>
      <w:r w:rsidRPr="00DC47F8">
        <w:t xml:space="preserve">. </w:t>
      </w:r>
      <w:r>
        <w:t>1.</w:t>
      </w:r>
      <w:r w:rsidRPr="00DC47F8">
        <w:t xml:space="preserve"> Le università italiane che hanno adottato una politica sull’OA fino al 2017. Confronto con quelle censite in </w:t>
      </w:r>
      <w:proofErr w:type="spellStart"/>
      <w:r w:rsidRPr="00DC47F8">
        <w:t>Roarmap</w:t>
      </w:r>
      <w:proofErr w:type="spellEnd"/>
      <w:r w:rsidRPr="00DC47F8">
        <w:t xml:space="preserve"> a </w:t>
      </w:r>
      <w:proofErr w:type="gramStart"/>
      <w:r w:rsidRPr="00DC47F8">
        <w:t>Febbraio</w:t>
      </w:r>
      <w:proofErr w:type="gramEnd"/>
      <w:r w:rsidRPr="00DC47F8">
        <w:t xml:space="preserve"> 2018 [1] e in </w:t>
      </w:r>
      <w:proofErr w:type="spellStart"/>
      <w:r w:rsidRPr="00DC47F8">
        <w:t>Vetrò</w:t>
      </w:r>
      <w:proofErr w:type="spellEnd"/>
      <w:r w:rsidRPr="00DC47F8">
        <w:t xml:space="preserve"> e Bianco [2].</w:t>
      </w:r>
    </w:p>
    <w:p w14:paraId="433B25AD" w14:textId="77777777" w:rsidR="0081302F" w:rsidRDefault="0081302F" w:rsidP="0081302F">
      <w:pPr>
        <w:spacing w:after="0"/>
        <w:rPr>
          <w:sz w:val="24"/>
          <w:szCs w:val="24"/>
        </w:rPr>
      </w:pPr>
    </w:p>
    <w:p w14:paraId="4F213DAE" w14:textId="55887F9B" w:rsidR="0081302F" w:rsidRDefault="00897E15" w:rsidP="0081302F">
      <w:pPr>
        <w:spacing w:after="0"/>
        <w:rPr>
          <w:sz w:val="24"/>
          <w:szCs w:val="24"/>
        </w:rPr>
      </w:pPr>
      <w:r w:rsidRPr="00897E15">
        <w:rPr>
          <w:noProof/>
          <w:sz w:val="24"/>
          <w:szCs w:val="24"/>
          <w:lang w:eastAsia="it-IT"/>
        </w:rPr>
        <w:lastRenderedPageBreak/>
        <w:drawing>
          <wp:inline distT="0" distB="0" distL="0" distR="0" wp14:anchorId="4065F847" wp14:editId="1258036F">
            <wp:extent cx="4257675" cy="2286000"/>
            <wp:effectExtent l="0" t="0" r="9525" b="0"/>
            <wp:docPr id="15" name="Immagine 15" descr="C:\Users\Elisabetta\Desktop\paper OA\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isabetta\Desktop\paper OA\fig 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7675" cy="2286000"/>
                    </a:xfrm>
                    <a:prstGeom prst="rect">
                      <a:avLst/>
                    </a:prstGeom>
                    <a:noFill/>
                    <a:ln>
                      <a:noFill/>
                    </a:ln>
                  </pic:spPr>
                </pic:pic>
              </a:graphicData>
            </a:graphic>
          </wp:inline>
        </w:drawing>
      </w:r>
    </w:p>
    <w:p w14:paraId="3F32082D" w14:textId="77777777" w:rsidR="00B645A7" w:rsidRPr="00E74EC8" w:rsidRDefault="00B645A7" w:rsidP="00B645A7">
      <w:pPr>
        <w:spacing w:after="0" w:line="240" w:lineRule="auto"/>
        <w:ind w:left="568" w:hanging="284"/>
        <w:jc w:val="both"/>
      </w:pPr>
      <w:r w:rsidRPr="00DC47F8">
        <w:t>Fig. 3. Università italiane e scelta fra policy (P), regolamento (R) e linea guida o di indirizzo (L).</w:t>
      </w:r>
    </w:p>
    <w:p w14:paraId="6F574D50" w14:textId="77777777" w:rsidR="0081302F" w:rsidRDefault="0081302F" w:rsidP="0081302F">
      <w:pPr>
        <w:spacing w:after="0"/>
        <w:rPr>
          <w:sz w:val="24"/>
          <w:szCs w:val="24"/>
        </w:rPr>
      </w:pPr>
    </w:p>
    <w:p w14:paraId="033DE243" w14:textId="251A77E7" w:rsidR="0081302F" w:rsidRDefault="00897E15" w:rsidP="0081302F">
      <w:pPr>
        <w:spacing w:after="0"/>
        <w:rPr>
          <w:sz w:val="24"/>
          <w:szCs w:val="24"/>
        </w:rPr>
      </w:pPr>
      <w:r w:rsidRPr="00897E15">
        <w:rPr>
          <w:noProof/>
          <w:sz w:val="24"/>
          <w:szCs w:val="24"/>
          <w:lang w:eastAsia="it-IT"/>
        </w:rPr>
        <w:drawing>
          <wp:inline distT="0" distB="0" distL="0" distR="0" wp14:anchorId="6EF14B64" wp14:editId="45F3629A">
            <wp:extent cx="4305300" cy="2581275"/>
            <wp:effectExtent l="0" t="0" r="0" b="9525"/>
            <wp:docPr id="16" name="Immagine 16" descr="C:\Users\Elisabetta\Desktop\paper OA\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lisabetta\Desktop\paper OA\fig 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05300" cy="2581275"/>
                    </a:xfrm>
                    <a:prstGeom prst="rect">
                      <a:avLst/>
                    </a:prstGeom>
                    <a:noFill/>
                    <a:ln>
                      <a:noFill/>
                    </a:ln>
                  </pic:spPr>
                </pic:pic>
              </a:graphicData>
            </a:graphic>
          </wp:inline>
        </w:drawing>
      </w:r>
    </w:p>
    <w:p w14:paraId="5A0979C1" w14:textId="54A1AD4B" w:rsidR="00074F6B" w:rsidRDefault="00074F6B" w:rsidP="00074F6B">
      <w:pPr>
        <w:spacing w:after="0" w:line="240" w:lineRule="auto"/>
        <w:ind w:left="568" w:hanging="284"/>
        <w:jc w:val="both"/>
      </w:pPr>
      <w:r w:rsidRPr="00DC47F8">
        <w:t xml:space="preserve">Fig. </w:t>
      </w:r>
      <w:r>
        <w:t>4</w:t>
      </w:r>
      <w:r w:rsidRPr="00DC47F8">
        <w:t>. Università italiane e momento in cui si richiede di provvedere al deposito.</w:t>
      </w:r>
      <w:r>
        <w:t xml:space="preserve"> Accettazione (A), Pubblicazione (P), Accettazione o Pubblicazione (AP), con ritardo massimo rispetto alla pubblicazione (RP) o all’accettazione (RA)</w:t>
      </w:r>
      <w:r>
        <w:t>, non specificato (NS)</w:t>
      </w:r>
      <w:r>
        <w:t>.</w:t>
      </w:r>
    </w:p>
    <w:p w14:paraId="2D96AB76" w14:textId="77777777" w:rsidR="0081302F" w:rsidRDefault="0081302F" w:rsidP="0081302F">
      <w:pPr>
        <w:spacing w:after="0"/>
        <w:rPr>
          <w:sz w:val="24"/>
          <w:szCs w:val="24"/>
        </w:rPr>
      </w:pPr>
    </w:p>
    <w:p w14:paraId="083C9BDF" w14:textId="5B8E10CE" w:rsidR="0081302F" w:rsidRDefault="00897E15" w:rsidP="0081302F">
      <w:pPr>
        <w:spacing w:after="0"/>
        <w:rPr>
          <w:sz w:val="24"/>
          <w:szCs w:val="24"/>
        </w:rPr>
      </w:pPr>
      <w:r w:rsidRPr="00897E15">
        <w:rPr>
          <w:noProof/>
          <w:sz w:val="24"/>
          <w:szCs w:val="24"/>
          <w:lang w:eastAsia="it-IT"/>
        </w:rPr>
        <w:drawing>
          <wp:inline distT="0" distB="0" distL="0" distR="0" wp14:anchorId="379576E0" wp14:editId="250F6B24">
            <wp:extent cx="4371975" cy="2581275"/>
            <wp:effectExtent l="0" t="0" r="9525" b="9525"/>
            <wp:docPr id="17" name="Immagine 17" descr="C:\Users\Elisabetta\Desktop\paper OA\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isabetta\Desktop\paper OA\fig 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1975" cy="2581275"/>
                    </a:xfrm>
                    <a:prstGeom prst="rect">
                      <a:avLst/>
                    </a:prstGeom>
                    <a:noFill/>
                    <a:ln>
                      <a:noFill/>
                    </a:ln>
                  </pic:spPr>
                </pic:pic>
              </a:graphicData>
            </a:graphic>
          </wp:inline>
        </w:drawing>
      </w:r>
    </w:p>
    <w:p w14:paraId="5B9B207B" w14:textId="4279CED4" w:rsidR="00B645A7" w:rsidRPr="00F12263" w:rsidRDefault="00B645A7" w:rsidP="00B645A7">
      <w:pPr>
        <w:spacing w:after="0" w:line="240" w:lineRule="auto"/>
        <w:ind w:left="284"/>
        <w:jc w:val="both"/>
      </w:pPr>
      <w:r w:rsidRPr="00F12263">
        <w:t>Fig. 5. Università italiane e previsione di organi politici in materia di OA</w:t>
      </w:r>
      <w:r w:rsidR="00074F6B">
        <w:t>:</w:t>
      </w:r>
      <w:r w:rsidRPr="00F12263">
        <w:t xml:space="preserve"> Commissione (C), Organo </w:t>
      </w:r>
      <w:r>
        <w:t xml:space="preserve">previsto </w:t>
      </w:r>
      <w:r w:rsidRPr="00F12263">
        <w:t>ma non istituito immediatamente (P), Delegato all’OA (D), Non Specificato (NS)</w:t>
      </w:r>
    </w:p>
    <w:p w14:paraId="2EDA8044" w14:textId="77777777" w:rsidR="0081302F" w:rsidRDefault="0081302F" w:rsidP="0081302F">
      <w:pPr>
        <w:spacing w:after="0"/>
        <w:rPr>
          <w:sz w:val="24"/>
          <w:szCs w:val="24"/>
        </w:rPr>
      </w:pPr>
    </w:p>
    <w:p w14:paraId="0F776A1A" w14:textId="77777777" w:rsidR="0081302F" w:rsidRDefault="0081302F" w:rsidP="0081302F">
      <w:pPr>
        <w:spacing w:after="0"/>
        <w:rPr>
          <w:sz w:val="24"/>
          <w:szCs w:val="24"/>
        </w:rPr>
      </w:pPr>
    </w:p>
    <w:p w14:paraId="732E202A" w14:textId="739A6963" w:rsidR="0081302F" w:rsidRDefault="00897E15" w:rsidP="0081302F">
      <w:pPr>
        <w:spacing w:after="0"/>
        <w:rPr>
          <w:sz w:val="24"/>
          <w:szCs w:val="24"/>
        </w:rPr>
      </w:pPr>
      <w:r w:rsidRPr="00897E15">
        <w:rPr>
          <w:noProof/>
          <w:sz w:val="24"/>
          <w:szCs w:val="24"/>
          <w:lang w:eastAsia="it-IT"/>
        </w:rPr>
        <w:drawing>
          <wp:inline distT="0" distB="0" distL="0" distR="0" wp14:anchorId="7DCD344D" wp14:editId="2699C154">
            <wp:extent cx="4572000" cy="2743200"/>
            <wp:effectExtent l="0" t="0" r="0" b="0"/>
            <wp:docPr id="18" name="Immagine 18" descr="C:\Users\Elisabetta\Desktop\paper OA\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isabetta\Desktop\paper OA\fig 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01E1161" w14:textId="77777777" w:rsidR="00B645A7" w:rsidRPr="00F12263" w:rsidRDefault="00B645A7" w:rsidP="00B645A7">
      <w:pPr>
        <w:spacing w:after="0" w:line="240" w:lineRule="auto"/>
        <w:ind w:left="568" w:hanging="284"/>
        <w:jc w:val="both"/>
      </w:pPr>
      <w:r w:rsidRPr="00F12263">
        <w:t xml:space="preserve">Fig. 6. Università italiane e previsione di organi tecnici in materia di OA </w:t>
      </w:r>
    </w:p>
    <w:p w14:paraId="283CE085" w14:textId="77777777" w:rsidR="0081302F" w:rsidRDefault="0081302F" w:rsidP="0081302F">
      <w:pPr>
        <w:spacing w:line="240" w:lineRule="auto"/>
        <w:rPr>
          <w:sz w:val="24"/>
          <w:szCs w:val="24"/>
        </w:rPr>
      </w:pPr>
    </w:p>
    <w:p w14:paraId="0543BBE5" w14:textId="3171061E" w:rsidR="00ED3184" w:rsidRPr="007A2282" w:rsidRDefault="0081302F" w:rsidP="007A2282">
      <w:pPr>
        <w:spacing w:line="240" w:lineRule="auto"/>
        <w:rPr>
          <w:sz w:val="24"/>
          <w:szCs w:val="24"/>
        </w:rPr>
      </w:pPr>
      <w:r w:rsidRPr="00F12263">
        <w:rPr>
          <w:noProof/>
          <w:sz w:val="24"/>
          <w:szCs w:val="24"/>
          <w:lang w:eastAsia="it-IT"/>
        </w:rPr>
        <w:drawing>
          <wp:inline distT="0" distB="0" distL="0" distR="0" wp14:anchorId="4BB2C056" wp14:editId="23897896">
            <wp:extent cx="6120130" cy="1643447"/>
            <wp:effectExtent l="0" t="0" r="0" b="0"/>
            <wp:docPr id="6" name="Immagine 6" descr="C:\Users\Elisabetta\Desktop\paper OA\ta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betta\Desktop\paper OA\tab 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643447"/>
                    </a:xfrm>
                    <a:prstGeom prst="rect">
                      <a:avLst/>
                    </a:prstGeom>
                    <a:noFill/>
                    <a:ln>
                      <a:noFill/>
                    </a:ln>
                  </pic:spPr>
                </pic:pic>
              </a:graphicData>
            </a:graphic>
          </wp:inline>
        </w:drawing>
      </w:r>
    </w:p>
    <w:p w14:paraId="7EDB832F" w14:textId="41BB1FC0" w:rsidR="0081302F" w:rsidRPr="00ED3184" w:rsidRDefault="00ED3184" w:rsidP="00ED3184">
      <w:pPr>
        <w:spacing w:after="0" w:line="240" w:lineRule="auto"/>
        <w:jc w:val="both"/>
        <w:rPr>
          <w:rFonts w:eastAsia="Times New Roman" w:cs="Times New Roman"/>
          <w:color w:val="000000"/>
          <w:lang w:eastAsia="it-IT"/>
        </w:rPr>
      </w:pPr>
      <w:proofErr w:type="spellStart"/>
      <w:r w:rsidRPr="00ED3184">
        <w:rPr>
          <w:rFonts w:eastAsia="Times New Roman" w:cs="Times New Roman"/>
          <w:color w:val="000000"/>
          <w:lang w:eastAsia="it-IT"/>
        </w:rPr>
        <w:t>Tab</w:t>
      </w:r>
      <w:proofErr w:type="spellEnd"/>
      <w:r w:rsidRPr="00ED3184">
        <w:rPr>
          <w:rFonts w:eastAsia="Times New Roman" w:cs="Times New Roman"/>
          <w:color w:val="000000"/>
          <w:lang w:eastAsia="it-IT"/>
        </w:rPr>
        <w:t>. 2. Risultati dell’analisi condotta sui 24 atenei italiani che hanno definito una politica per l’OA</w:t>
      </w:r>
      <w:r w:rsidRPr="00ED3184">
        <w:rPr>
          <w:rFonts w:eastAsia="Times New Roman" w:cs="Times New Roman"/>
          <w:color w:val="000000"/>
          <w:lang w:eastAsia="it-IT"/>
        </w:rPr>
        <w:t>. S</w:t>
      </w:r>
      <w:r w:rsidRPr="00ED3184">
        <w:t xml:space="preserve">ono </w:t>
      </w:r>
      <w:r w:rsidR="0081302F" w:rsidRPr="00ED3184">
        <w:t>riassu</w:t>
      </w:r>
      <w:r>
        <w:t>nte le caratteristiche rilevate, g</w:t>
      </w:r>
      <w:r w:rsidR="0081302F" w:rsidRPr="00ED3184">
        <w:t xml:space="preserve">li Atenei sono stati indicati con un numero (si veda </w:t>
      </w:r>
      <w:r w:rsidRPr="00ED3184">
        <w:t>tabella 1</w:t>
      </w:r>
      <w:r w:rsidR="0081302F" w:rsidRPr="00ED3184">
        <w:t xml:space="preserve">) mentre le caratteristiche e i significati degli indicatori che sono stati considerati sono di seguito descritti. </w:t>
      </w:r>
    </w:p>
    <w:p w14:paraId="4644B010" w14:textId="2DDC710B" w:rsidR="0081302F" w:rsidRPr="00ED3184" w:rsidRDefault="0081302F" w:rsidP="00285433">
      <w:pPr>
        <w:pStyle w:val="Paragrafoelenco"/>
        <w:numPr>
          <w:ilvl w:val="0"/>
          <w:numId w:val="31"/>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MECCANISMI DI APPROVAZIONE DEI DOCUMENTI: [si] i documenti sono stati approvati dal Senato Accademico delle università</w:t>
      </w:r>
      <w:r w:rsidRPr="00ED3184">
        <w:rPr>
          <w:rFonts w:eastAsia="Times New Roman" w:cs="Times New Roman"/>
          <w:color w:val="0070C0"/>
          <w:lang w:eastAsia="it-IT"/>
        </w:rPr>
        <w:t xml:space="preserve"> </w:t>
      </w:r>
    </w:p>
    <w:p w14:paraId="542337BE" w14:textId="77777777" w:rsidR="0081302F" w:rsidRPr="00ED3184" w:rsidRDefault="0081302F" w:rsidP="00285433">
      <w:pPr>
        <w:pStyle w:val="Paragrafoelenco"/>
        <w:numPr>
          <w:ilvl w:val="0"/>
          <w:numId w:val="31"/>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NOME DATO AL DOCUMENTO: [R] regolamento, [P] policy, [L] linee (guida o di indirizzo)</w:t>
      </w:r>
    </w:p>
    <w:p w14:paraId="661E5D5F" w14:textId="77777777" w:rsidR="0081302F" w:rsidRPr="00ED3184" w:rsidRDefault="0081302F" w:rsidP="00285433">
      <w:pPr>
        <w:pStyle w:val="Paragrafoelenco"/>
        <w:numPr>
          <w:ilvl w:val="0"/>
          <w:numId w:val="31"/>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OBBLIGATORIETA’ DEL DEPOSITO: [O] il deposito è obbligatorio</w:t>
      </w:r>
    </w:p>
    <w:p w14:paraId="35F0EE30" w14:textId="77777777" w:rsidR="0081302F" w:rsidRPr="00ED3184" w:rsidRDefault="0081302F" w:rsidP="00285433">
      <w:pPr>
        <w:pStyle w:val="Paragrafoelenco"/>
        <w:numPr>
          <w:ilvl w:val="0"/>
          <w:numId w:val="31"/>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LUOGO IN CUI AVVIENE IL DEPOSITO: [AI] nell’archivio istituzionale</w:t>
      </w:r>
    </w:p>
    <w:p w14:paraId="76EE77C2" w14:textId="77777777" w:rsidR="0081302F" w:rsidRPr="00ED3184" w:rsidRDefault="0081302F" w:rsidP="00285433">
      <w:pPr>
        <w:pStyle w:val="Paragrafoelenco"/>
        <w:numPr>
          <w:ilvl w:val="0"/>
          <w:numId w:val="31"/>
        </w:numPr>
        <w:spacing w:line="240" w:lineRule="auto"/>
        <w:jc w:val="both"/>
        <w:rPr>
          <w:rFonts w:eastAsia="Times New Roman" w:cs="Times New Roman"/>
          <w:color w:val="000000"/>
          <w:lang w:eastAsia="it-IT"/>
        </w:rPr>
      </w:pPr>
      <w:r w:rsidRPr="00ED3184">
        <w:t>DEPOSITO OBBLIGATORIO PER LA VALUTAZIONE INTERNA ED ESTERNA: [OV] obbligatorio ai fini della valutazione, [NS] non specificato</w:t>
      </w:r>
    </w:p>
    <w:p w14:paraId="357542E4" w14:textId="77777777" w:rsidR="0081302F" w:rsidRPr="00ED3184" w:rsidRDefault="0081302F" w:rsidP="00285433">
      <w:pPr>
        <w:pStyle w:val="Paragrafoelenco"/>
        <w:numPr>
          <w:ilvl w:val="0"/>
          <w:numId w:val="31"/>
        </w:numPr>
        <w:spacing w:line="240" w:lineRule="auto"/>
        <w:jc w:val="both"/>
        <w:rPr>
          <w:rFonts w:eastAsia="Times New Roman" w:cs="Times New Roman"/>
          <w:color w:val="000000"/>
          <w:lang w:eastAsia="it-IT"/>
        </w:rPr>
      </w:pPr>
      <w:r w:rsidRPr="00ED3184">
        <w:t>MOMENTO DI AVVIO DELLA PROCEDURA DI DEPOSITO: [A] al momento dell’accettazione, [P] al momento della pubblicazione, [RP] con un ritardo massimo stabilito rispetto al momento della pubblicazione (ad esempio entro 12 mesi) o [AP] quando si ha notizia dell’accettazione o della pubblicazione, o, infine, entro un certo periodo dalla notizia dell’accettazione [RA]. [NS] quando non specificato.</w:t>
      </w:r>
    </w:p>
    <w:p w14:paraId="6E93F094" w14:textId="77777777" w:rsidR="0081302F" w:rsidRPr="00ED3184" w:rsidRDefault="0081302F" w:rsidP="00285433">
      <w:pPr>
        <w:pStyle w:val="Paragrafoelenco"/>
        <w:numPr>
          <w:ilvl w:val="0"/>
          <w:numId w:val="31"/>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ISTITUZIONE DI UN ORGANO POLITICO: [C] è istituita una Commissione d’ateneo, [NS] nulla è specificato a tal proposito nel documento, [P] previsto ma non immediatamente istituito, [D] si istituisce il delegato del Rettore per l’Accesso Aperto</w:t>
      </w:r>
    </w:p>
    <w:p w14:paraId="0AE5708B" w14:textId="38877F4C" w:rsidR="004A0706" w:rsidRPr="00187F7A" w:rsidRDefault="0081302F" w:rsidP="00187F7A">
      <w:pPr>
        <w:pStyle w:val="Paragrafoelenco"/>
        <w:numPr>
          <w:ilvl w:val="0"/>
          <w:numId w:val="31"/>
        </w:numPr>
        <w:spacing w:line="240" w:lineRule="auto"/>
        <w:jc w:val="both"/>
        <w:rPr>
          <w:rFonts w:eastAsia="Times New Roman" w:cs="Times New Roman"/>
          <w:color w:val="000000"/>
          <w:lang w:eastAsia="it-IT"/>
        </w:rPr>
      </w:pPr>
      <w:r w:rsidRPr="00ED3184">
        <w:rPr>
          <w:rFonts w:eastAsia="Times New Roman" w:cs="Times New Roman"/>
          <w:color w:val="000000"/>
          <w:lang w:eastAsia="it-IT"/>
        </w:rPr>
        <w:t>ISTITUZIONE DI UN ORGANO TECNICO: [G] è istituito un gruppo di lavoro, [NS] nessun organo è istituito nel documento, [P] previsto ma non immediatamente istituito, [S] è istituito uno staff di supporto</w:t>
      </w:r>
    </w:p>
    <w:sectPr w:rsidR="004A0706" w:rsidRPr="00187F7A" w:rsidSect="00E670D2">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C1FE5" w14:textId="77777777" w:rsidR="006B295B" w:rsidRDefault="006B295B" w:rsidP="0062389D">
      <w:pPr>
        <w:spacing w:after="0" w:line="240" w:lineRule="auto"/>
      </w:pPr>
      <w:r>
        <w:separator/>
      </w:r>
    </w:p>
  </w:endnote>
  <w:endnote w:type="continuationSeparator" w:id="0">
    <w:p w14:paraId="0B1838D4" w14:textId="77777777" w:rsidR="006B295B" w:rsidRDefault="006B295B" w:rsidP="0062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99F69" w14:textId="77777777" w:rsidR="006B295B" w:rsidRDefault="006B295B" w:rsidP="0062389D">
      <w:pPr>
        <w:spacing w:after="0" w:line="240" w:lineRule="auto"/>
      </w:pPr>
      <w:r>
        <w:separator/>
      </w:r>
    </w:p>
  </w:footnote>
  <w:footnote w:type="continuationSeparator" w:id="0">
    <w:p w14:paraId="781B088F" w14:textId="77777777" w:rsidR="006B295B" w:rsidRDefault="006B295B" w:rsidP="0062389D">
      <w:pPr>
        <w:spacing w:after="0" w:line="240" w:lineRule="auto"/>
      </w:pPr>
      <w:r>
        <w:continuationSeparator/>
      </w:r>
    </w:p>
  </w:footnote>
  <w:footnote w:id="1">
    <w:p w14:paraId="04559B4D" w14:textId="77777777" w:rsidR="00E5314E" w:rsidRPr="0062389D" w:rsidRDefault="00E5314E" w:rsidP="0062389D">
      <w:pPr>
        <w:pStyle w:val="Testonotaapidipagina"/>
      </w:pPr>
      <w:r>
        <w:rPr>
          <w:rStyle w:val="Rimandonotaapidipagina"/>
        </w:rPr>
        <w:footnoteRef/>
      </w:r>
      <w:r>
        <w:t xml:space="preserve"> </w:t>
      </w:r>
      <w:r w:rsidRPr="0062389D">
        <w:t xml:space="preserve">Per un approfondimento sui benefici dell’OA </w:t>
      </w:r>
      <w:r>
        <w:t xml:space="preserve">vedi </w:t>
      </w:r>
      <w:proofErr w:type="spellStart"/>
      <w:r w:rsidRPr="0062389D">
        <w:t>Suber</w:t>
      </w:r>
      <w:proofErr w:type="spellEnd"/>
      <w:r>
        <w:t xml:space="preserve"> </w:t>
      </w:r>
      <w:r w:rsidRPr="0062389D">
        <w:t>2012</w:t>
      </w:r>
      <w:r>
        <w:t xml:space="preserve">. </w:t>
      </w:r>
    </w:p>
  </w:footnote>
  <w:footnote w:id="2">
    <w:p w14:paraId="63338D0C" w14:textId="77777777" w:rsidR="00E5314E" w:rsidRDefault="00E5314E">
      <w:pPr>
        <w:pStyle w:val="Testonotaapidipagina"/>
      </w:pPr>
      <w:r>
        <w:rPr>
          <w:rStyle w:val="Rimandonotaapidipagina"/>
        </w:rPr>
        <w:footnoteRef/>
      </w:r>
      <w:r>
        <w:t xml:space="preserve"> Gotti 2012.</w:t>
      </w:r>
    </w:p>
  </w:footnote>
  <w:footnote w:id="3">
    <w:p w14:paraId="4BB6E86A" w14:textId="77777777" w:rsidR="00E5314E" w:rsidRDefault="00E5314E">
      <w:pPr>
        <w:pStyle w:val="Testonotaapidipagina"/>
      </w:pPr>
      <w:r>
        <w:rPr>
          <w:rStyle w:val="Rimandonotaapidipagina"/>
        </w:rPr>
        <w:footnoteRef/>
      </w:r>
      <w:r>
        <w:t xml:space="preserve"> Guerrini 2010, pp.27-28.</w:t>
      </w:r>
    </w:p>
  </w:footnote>
  <w:footnote w:id="4">
    <w:p w14:paraId="42FF094B" w14:textId="6410F8C8" w:rsidR="00E5314E" w:rsidRDefault="00E5314E">
      <w:pPr>
        <w:pStyle w:val="Testonotaapidipagina"/>
      </w:pPr>
      <w:r>
        <w:rPr>
          <w:rStyle w:val="Rimandonotaapidipagina"/>
        </w:rPr>
        <w:footnoteRef/>
      </w:r>
      <w:r>
        <w:t xml:space="preserve"> CRUI, Commissione Biblioteche, Gruppo Open Access 2012, p. 6</w:t>
      </w:r>
    </w:p>
  </w:footnote>
  <w:footnote w:id="5">
    <w:p w14:paraId="4D145378" w14:textId="77777777" w:rsidR="00E5314E" w:rsidRDefault="00E5314E">
      <w:pPr>
        <w:pStyle w:val="Testonotaapidipagina"/>
      </w:pPr>
      <w:r>
        <w:rPr>
          <w:rStyle w:val="Rimandonotaapidipagina"/>
        </w:rPr>
        <w:footnoteRef/>
      </w:r>
      <w:r>
        <w:t xml:space="preserve"> Per un approfondimento sui temi della VQR vedi </w:t>
      </w:r>
      <w:proofErr w:type="spellStart"/>
      <w:r>
        <w:t>Anvur</w:t>
      </w:r>
      <w:proofErr w:type="spellEnd"/>
      <w:r>
        <w:t xml:space="preserve"> 2011a; </w:t>
      </w:r>
      <w:proofErr w:type="spellStart"/>
      <w:r>
        <w:t>Anvur</w:t>
      </w:r>
      <w:proofErr w:type="spellEnd"/>
      <w:r>
        <w:t xml:space="preserve"> 2015b.</w:t>
      </w:r>
    </w:p>
  </w:footnote>
  <w:footnote w:id="6">
    <w:p w14:paraId="1FD2F88A" w14:textId="77777777" w:rsidR="00E5314E" w:rsidRPr="00374A83" w:rsidRDefault="00E5314E" w:rsidP="00657B64">
      <w:pPr>
        <w:pStyle w:val="Testonotaapidipagina"/>
        <w:jc w:val="both"/>
      </w:pPr>
      <w:r>
        <w:rPr>
          <w:rStyle w:val="Rimandonotaapidipagina"/>
        </w:rPr>
        <w:footnoteRef/>
      </w:r>
      <w:r>
        <w:t xml:space="preserve"> </w:t>
      </w:r>
      <w:r w:rsidRPr="00374A83">
        <w:t>D</w:t>
      </w:r>
      <w:r>
        <w:t xml:space="preserve">.D. </w:t>
      </w:r>
      <w:r w:rsidRPr="00374A83">
        <w:t>27 giugno 2012</w:t>
      </w:r>
      <w:r>
        <w:t xml:space="preserve">, </w:t>
      </w:r>
      <w:r w:rsidRPr="00374A83">
        <w:t xml:space="preserve">n. 181 “Procedura per la formazione delle Commissioni Nazionali per il conferimento dell’abilitazione alle funzioni di professore universitario di prima e seconda fascia” </w:t>
      </w:r>
      <w:r>
        <w:t xml:space="preserve">e D. M. </w:t>
      </w:r>
      <w:r w:rsidRPr="00374A83">
        <w:t>7 giugno 2016</w:t>
      </w:r>
      <w:r>
        <w:t xml:space="preserve">, </w:t>
      </w:r>
      <w:r w:rsidRPr="00374A83">
        <w:t>n. 120 “Regolamento recante criteri e parametri per la valutazione dei candidati ai fini dell’attribuzione dell’abilitazione scientifica nazionale per l’accesso alla prima e alla seconda fascia dei professori universitari, nonché le modalità di accertamento della qualificazione dei Commissari, ai sensi dell’articolo 16, comma 3, lettere a), b) e c) della legge 30 dicembre 2010, n. 240, e successive modifiche, e degli articoli 4 e 6, commi 4 e 5, del decreto del Presidente della Repubblica 4 aprile 2016, n. 95.”</w:t>
      </w:r>
    </w:p>
  </w:footnote>
  <w:footnote w:id="7">
    <w:p w14:paraId="7B9586B8" w14:textId="77777777" w:rsidR="00E5314E" w:rsidRDefault="00E5314E" w:rsidP="00657B64">
      <w:pPr>
        <w:pStyle w:val="Testonotaapidipagina"/>
        <w:jc w:val="both"/>
      </w:pPr>
      <w:r>
        <w:rPr>
          <w:rStyle w:val="Rimandonotaapidipagina"/>
        </w:rPr>
        <w:footnoteRef/>
      </w:r>
      <w:r>
        <w:t xml:space="preserve"> In base ai diritti concessi agli autori, l’editore si classifica secondo il seguente schema: </w:t>
      </w:r>
      <w:r w:rsidRPr="00876CFE">
        <w:rPr>
          <w:b/>
        </w:rPr>
        <w:t>verde</w:t>
      </w:r>
      <w:r>
        <w:t xml:space="preserve">, quando permette l’archiviazione del </w:t>
      </w:r>
      <w:proofErr w:type="spellStart"/>
      <w:r>
        <w:t>preprint</w:t>
      </w:r>
      <w:proofErr w:type="spellEnd"/>
      <w:r>
        <w:t xml:space="preserve"> e del </w:t>
      </w:r>
      <w:proofErr w:type="spellStart"/>
      <w:r>
        <w:t>postprint</w:t>
      </w:r>
      <w:proofErr w:type="spellEnd"/>
      <w:r>
        <w:t xml:space="preserve"> o della versione pdf dell’editore</w:t>
      </w:r>
      <w:r w:rsidRPr="00876CFE">
        <w:t>,</w:t>
      </w:r>
      <w:r w:rsidRPr="00876CFE">
        <w:rPr>
          <w:b/>
        </w:rPr>
        <w:t xml:space="preserve"> blu</w:t>
      </w:r>
      <w:r>
        <w:t xml:space="preserve">, quando permette l’archiviazione del </w:t>
      </w:r>
      <w:proofErr w:type="spellStart"/>
      <w:r>
        <w:t>postprint</w:t>
      </w:r>
      <w:proofErr w:type="spellEnd"/>
      <w:r>
        <w:t xml:space="preserve"> o della versione pdf dell’editore, </w:t>
      </w:r>
      <w:r w:rsidRPr="00876CFE">
        <w:rPr>
          <w:b/>
        </w:rPr>
        <w:t>giallo</w:t>
      </w:r>
      <w:r>
        <w:t xml:space="preserve">, quando permette di archiviare il </w:t>
      </w:r>
      <w:proofErr w:type="spellStart"/>
      <w:r>
        <w:t>preprint</w:t>
      </w:r>
      <w:proofErr w:type="spellEnd"/>
      <w:r>
        <w:t xml:space="preserve"> e </w:t>
      </w:r>
      <w:r w:rsidRPr="00876CFE">
        <w:rPr>
          <w:b/>
        </w:rPr>
        <w:t>bianco</w:t>
      </w:r>
      <w:r>
        <w:t xml:space="preserve"> quando l’archiviazione non è formalmente consentita. </w:t>
      </w:r>
    </w:p>
  </w:footnote>
  <w:footnote w:id="8">
    <w:p w14:paraId="325E30B6" w14:textId="6662636C" w:rsidR="00E5314E" w:rsidRDefault="00E5314E">
      <w:pPr>
        <w:pStyle w:val="Testonotaapidipagina"/>
      </w:pPr>
      <w:r>
        <w:rPr>
          <w:rStyle w:val="Rimandonotaapidipagina"/>
        </w:rPr>
        <w:footnoteRef/>
      </w:r>
      <w:r>
        <w:t xml:space="preserve"> CRUI, Commissione delle Biblioteche, Gruppo Open Access 2009a, p. 21. </w:t>
      </w:r>
    </w:p>
  </w:footnote>
  <w:footnote w:id="9">
    <w:p w14:paraId="627F974C" w14:textId="19F29D5A" w:rsidR="00E5314E" w:rsidRDefault="00E5314E" w:rsidP="0081302F">
      <w:pPr>
        <w:pStyle w:val="Testonotaapidipagina"/>
        <w:jc w:val="both"/>
      </w:pPr>
      <w:r>
        <w:rPr>
          <w:rStyle w:val="Rimandonotaapidipagina"/>
        </w:rPr>
        <w:footnoteRef/>
      </w:r>
      <w:r>
        <w:t xml:space="preserve"> </w:t>
      </w:r>
      <w:r w:rsidR="0081302F">
        <w:t xml:space="preserve">Per un approfondimento sulle creative </w:t>
      </w:r>
      <w:proofErr w:type="spellStart"/>
      <w:r w:rsidR="0081302F">
        <w:t>commons</w:t>
      </w:r>
      <w:proofErr w:type="spellEnd"/>
      <w:r w:rsidR="0081302F">
        <w:t xml:space="preserve"> vedi Aliprandi 2005; CRUI, Commissione delle Biblioteche, Gruppo Open Access 2009a.</w:t>
      </w:r>
    </w:p>
  </w:footnote>
  <w:footnote w:id="10">
    <w:p w14:paraId="26B08F69" w14:textId="3EC7C672" w:rsidR="00E5314E" w:rsidRPr="002A44D9" w:rsidRDefault="00E5314E" w:rsidP="00FD5A26">
      <w:pPr>
        <w:pStyle w:val="Testonotaapidipagina"/>
        <w:jc w:val="both"/>
      </w:pPr>
      <w:r>
        <w:rPr>
          <w:rStyle w:val="Rimandonotaapidipagina"/>
        </w:rPr>
        <w:footnoteRef/>
      </w:r>
      <w:r>
        <w:t xml:space="preserve"> Con l’</w:t>
      </w:r>
      <w:proofErr w:type="spellStart"/>
      <w:r w:rsidRPr="002A44D9">
        <w:rPr>
          <w:i/>
        </w:rPr>
        <w:t>attribution</w:t>
      </w:r>
      <w:proofErr w:type="spellEnd"/>
      <w:r>
        <w:rPr>
          <w:i/>
        </w:rPr>
        <w:t xml:space="preserve"> </w:t>
      </w:r>
      <w:r w:rsidRPr="00E779EC">
        <w:t>(</w:t>
      </w:r>
      <w:r>
        <w:rPr>
          <w:i/>
        </w:rPr>
        <w:t>BY)</w:t>
      </w:r>
      <w:r>
        <w:t xml:space="preserve"> l’autore concede il permesso di copiare, distribuire, mostrare ed eseguire copie dell’opera e di lavori da essa derivate, a patto che il suo nome venga indicato; la clausola no </w:t>
      </w:r>
      <w:r w:rsidRPr="00E779EC">
        <w:rPr>
          <w:i/>
        </w:rPr>
        <w:t>commercial</w:t>
      </w:r>
      <w:r>
        <w:t xml:space="preserve"> (</w:t>
      </w:r>
      <w:r w:rsidRPr="00E779EC">
        <w:rPr>
          <w:i/>
        </w:rPr>
        <w:t>NC</w:t>
      </w:r>
      <w:r>
        <w:t xml:space="preserve">) indica la concessione del diritto di copiare, distribuire, mostrare ed eseguire copie dell’opera e di lavori da essa derivati solo per scopi non commerciali; la clausola </w:t>
      </w:r>
      <w:r w:rsidRPr="007749D6">
        <w:rPr>
          <w:i/>
        </w:rPr>
        <w:t xml:space="preserve">no derivate </w:t>
      </w:r>
      <w:proofErr w:type="spellStart"/>
      <w:r w:rsidRPr="007749D6">
        <w:rPr>
          <w:i/>
        </w:rPr>
        <w:t>works</w:t>
      </w:r>
      <w:proofErr w:type="spellEnd"/>
      <w:r>
        <w:t xml:space="preserve"> (</w:t>
      </w:r>
      <w:r w:rsidRPr="007749D6">
        <w:rPr>
          <w:i/>
        </w:rPr>
        <w:t>ND</w:t>
      </w:r>
      <w:r>
        <w:t xml:space="preserve">) indica la possibilità di copiare, distribuire, mostrare ed eseguire solo copie identiche dell’opera; non sono ammesse opere derivate e sue rielaborazioni; infine la clausola </w:t>
      </w:r>
      <w:r w:rsidRPr="007A02C8">
        <w:rPr>
          <w:i/>
        </w:rPr>
        <w:t xml:space="preserve">share </w:t>
      </w:r>
      <w:proofErr w:type="spellStart"/>
      <w:r w:rsidRPr="007A02C8">
        <w:rPr>
          <w:i/>
        </w:rPr>
        <w:t>alike</w:t>
      </w:r>
      <w:proofErr w:type="spellEnd"/>
      <w:r>
        <w:t xml:space="preserve"> (</w:t>
      </w:r>
      <w:r w:rsidRPr="007A02C8">
        <w:rPr>
          <w:i/>
        </w:rPr>
        <w:t>SA</w:t>
      </w:r>
      <w:r>
        <w:t xml:space="preserve">) permette la distribuzione di lavori derivati dall’opera solo con una licenza identica o compatibile con quella concessa con l’opera originale.    </w:t>
      </w:r>
    </w:p>
  </w:footnote>
  <w:footnote w:id="11">
    <w:p w14:paraId="53DC2F00" w14:textId="77777777" w:rsidR="00E5314E" w:rsidRPr="00A0289D" w:rsidRDefault="00E5314E">
      <w:pPr>
        <w:pStyle w:val="Testonotaapidipagina"/>
        <w:rPr>
          <w:lang w:val="en-GB"/>
        </w:rPr>
      </w:pPr>
      <w:r>
        <w:rPr>
          <w:rStyle w:val="Rimandonotaapidipagina"/>
        </w:rPr>
        <w:footnoteRef/>
      </w:r>
      <w:r w:rsidRPr="00A0289D">
        <w:rPr>
          <w:lang w:val="en-GB"/>
        </w:rPr>
        <w:t xml:space="preserve"> BOAI 2002, &lt;http://www.budapestopenaccessinitiative.org/translations/italian-translation&gt;, 19.03.2018.</w:t>
      </w:r>
    </w:p>
  </w:footnote>
  <w:footnote w:id="12">
    <w:p w14:paraId="4103FE86" w14:textId="77777777" w:rsidR="00E5314E" w:rsidRDefault="00E5314E">
      <w:pPr>
        <w:pStyle w:val="Testonotaapidipagina"/>
      </w:pPr>
      <w:r>
        <w:rPr>
          <w:rStyle w:val="Rimandonotaapidipagina"/>
        </w:rPr>
        <w:footnoteRef/>
      </w:r>
      <w:r>
        <w:t xml:space="preserve"> Si veda anche BOAI 2012, </w:t>
      </w:r>
      <w:r w:rsidRPr="008028B3">
        <w:t>&lt;http://www.budapestopenaccessinitiative.org/boai-10-translations/italian-translation&gt;, 21.03.2018.</w:t>
      </w:r>
    </w:p>
  </w:footnote>
  <w:footnote w:id="13">
    <w:p w14:paraId="51482741" w14:textId="77777777" w:rsidR="00E5314E" w:rsidRPr="00A0289D" w:rsidRDefault="00E5314E" w:rsidP="00FD4C0D">
      <w:pPr>
        <w:pStyle w:val="Testonotaapidipagina"/>
        <w:jc w:val="both"/>
        <w:rPr>
          <w:lang w:val="en-GB"/>
        </w:rPr>
      </w:pPr>
      <w:r w:rsidRPr="00DE7E76">
        <w:rPr>
          <w:rStyle w:val="Rimandonotaapidipagina"/>
        </w:rPr>
        <w:footnoteRef/>
      </w:r>
      <w:r w:rsidRPr="00A0289D">
        <w:rPr>
          <w:lang w:val="en-GB"/>
        </w:rPr>
        <w:t xml:space="preserve"> </w:t>
      </w:r>
      <w:r w:rsidRPr="00A0289D">
        <w:rPr>
          <w:rFonts w:cstheme="minorHAnsi"/>
          <w:lang w:val="en-GB"/>
        </w:rPr>
        <w:t>Bethesda Statement on Open Access Publishing, &lt;http://legacy.earlham.edu/~peters/fos/bethesda.htm&gt;, 19.03.2018.</w:t>
      </w:r>
    </w:p>
  </w:footnote>
  <w:footnote w:id="14">
    <w:p w14:paraId="5816DAE1" w14:textId="77777777" w:rsidR="00E5314E" w:rsidRPr="00A0289D" w:rsidRDefault="00E5314E" w:rsidP="00FD4C0D">
      <w:pPr>
        <w:pStyle w:val="Testonotaapidipagina"/>
        <w:jc w:val="both"/>
        <w:rPr>
          <w:lang w:val="en-GB"/>
        </w:rPr>
      </w:pPr>
      <w:r w:rsidRPr="00DE7E76">
        <w:rPr>
          <w:rStyle w:val="Rimandonotaapidipagina"/>
        </w:rPr>
        <w:footnoteRef/>
      </w:r>
      <w:r w:rsidRPr="00A0289D">
        <w:rPr>
          <w:lang w:val="en-GB"/>
        </w:rPr>
        <w:t xml:space="preserve"> Berlin Declaration on Open Access to Knowledge in the Sciences and Humanities</w:t>
      </w:r>
      <w:proofErr w:type="gramStart"/>
      <w:r w:rsidRPr="00A0289D">
        <w:rPr>
          <w:lang w:val="en-GB"/>
        </w:rPr>
        <w:t>,&lt;</w:t>
      </w:r>
      <w:proofErr w:type="gramEnd"/>
      <w:r w:rsidRPr="00A0289D">
        <w:rPr>
          <w:lang w:val="en-GB"/>
        </w:rPr>
        <w:t>https://openaccess.mpg.de/67682/BerlinDeclaration_it.pdf&gt;, 19.03.2018.</w:t>
      </w:r>
    </w:p>
  </w:footnote>
  <w:footnote w:id="15">
    <w:p w14:paraId="7FD7C3A6" w14:textId="77777777" w:rsidR="00E5314E" w:rsidRPr="00DE7E76" w:rsidRDefault="00E5314E" w:rsidP="00FD4C0D">
      <w:pPr>
        <w:pStyle w:val="Testonotaapidipagina"/>
      </w:pPr>
      <w:r w:rsidRPr="00DE7E76">
        <w:rPr>
          <w:rStyle w:val="Rimandonotaapidipagina"/>
        </w:rPr>
        <w:footnoteRef/>
      </w:r>
      <w:r w:rsidRPr="00DE7E76">
        <w:t xml:space="preserve"> Una ricostruzione del </w:t>
      </w:r>
      <w:r>
        <w:t xml:space="preserve">tracciato europeo è in </w:t>
      </w:r>
      <w:proofErr w:type="spellStart"/>
      <w:r>
        <w:t>Donadio</w:t>
      </w:r>
      <w:proofErr w:type="spellEnd"/>
      <w:r>
        <w:t xml:space="preserve"> 2013.</w:t>
      </w:r>
    </w:p>
  </w:footnote>
  <w:footnote w:id="16">
    <w:p w14:paraId="59DBF3D8" w14:textId="6E3123F9" w:rsidR="00E5314E" w:rsidRDefault="00E5314E" w:rsidP="001C4DEA">
      <w:pPr>
        <w:pStyle w:val="Testonotaapidipagina"/>
      </w:pPr>
      <w:r>
        <w:rPr>
          <w:rStyle w:val="Rimandonotaapidipagina"/>
        </w:rPr>
        <w:footnoteRef/>
      </w:r>
      <w:r>
        <w:t xml:space="preserve"> Commissione Europea 2012a.</w:t>
      </w:r>
    </w:p>
  </w:footnote>
  <w:footnote w:id="17">
    <w:p w14:paraId="66267CAF" w14:textId="5C6B138F" w:rsidR="00E5314E" w:rsidRDefault="00E5314E" w:rsidP="001C4DEA">
      <w:pPr>
        <w:pStyle w:val="Testonotaapidipagina"/>
      </w:pPr>
      <w:r>
        <w:rPr>
          <w:rStyle w:val="Rimandonotaapidipagina"/>
        </w:rPr>
        <w:footnoteRef/>
      </w:r>
      <w:r>
        <w:t xml:space="preserve"> Commissione Europea 2012b.</w:t>
      </w:r>
    </w:p>
  </w:footnote>
  <w:footnote w:id="18">
    <w:p w14:paraId="6D8A2FE5" w14:textId="56A0D44C" w:rsidR="00E5314E" w:rsidRDefault="00E5314E" w:rsidP="001C4DEA">
      <w:pPr>
        <w:pStyle w:val="Testonotaapidipagina"/>
      </w:pPr>
      <w:r>
        <w:rPr>
          <w:rStyle w:val="Rimandonotaapidipagina"/>
        </w:rPr>
        <w:footnoteRef/>
      </w:r>
      <w:r>
        <w:t xml:space="preserve"> Commissione Europea 2012c.</w:t>
      </w:r>
    </w:p>
  </w:footnote>
  <w:footnote w:id="19">
    <w:p w14:paraId="6092C7C9" w14:textId="77777777" w:rsidR="00E5314E" w:rsidRDefault="00E5314E" w:rsidP="00FD4C0D">
      <w:pPr>
        <w:pStyle w:val="Testonotaapidipagina"/>
      </w:pPr>
      <w:r>
        <w:rPr>
          <w:rStyle w:val="Rimandonotaapidipagina"/>
        </w:rPr>
        <w:footnoteRef/>
      </w:r>
      <w:r>
        <w:t xml:space="preserve"> Commissione Europea 2006.</w:t>
      </w:r>
    </w:p>
  </w:footnote>
  <w:footnote w:id="20">
    <w:p w14:paraId="7A074820" w14:textId="551BC15E" w:rsidR="00E5314E" w:rsidRDefault="00E5314E" w:rsidP="00FD4C0D">
      <w:pPr>
        <w:pStyle w:val="Testonotaapidipagina"/>
      </w:pPr>
      <w:r>
        <w:rPr>
          <w:rStyle w:val="Rimandonotaapidipagina"/>
        </w:rPr>
        <w:footnoteRef/>
      </w:r>
      <w:r>
        <w:t xml:space="preserve"> Commissione Europea 2017a.</w:t>
      </w:r>
    </w:p>
  </w:footnote>
  <w:footnote w:id="21">
    <w:p w14:paraId="0466F93A" w14:textId="462F8FE1" w:rsidR="00E5314E" w:rsidRDefault="00E5314E" w:rsidP="00FD4C0D">
      <w:pPr>
        <w:pStyle w:val="Testonotaapidipagina"/>
      </w:pPr>
      <w:r>
        <w:rPr>
          <w:rStyle w:val="Rimandonotaapidipagina"/>
        </w:rPr>
        <w:footnoteRef/>
      </w:r>
      <w:r>
        <w:t xml:space="preserve"> Commissione Europea 2017b.</w:t>
      </w:r>
    </w:p>
  </w:footnote>
  <w:footnote w:id="22">
    <w:p w14:paraId="7D73D473" w14:textId="77777777" w:rsidR="00E5314E" w:rsidRPr="00692EEB" w:rsidRDefault="00E5314E" w:rsidP="00FD4C0D">
      <w:pPr>
        <w:pStyle w:val="NormaleWeb"/>
        <w:spacing w:before="0" w:beforeAutospacing="0" w:after="0" w:afterAutospacing="0"/>
        <w:jc w:val="both"/>
        <w:rPr>
          <w:rFonts w:asciiTheme="minorHAnsi" w:eastAsiaTheme="minorHAnsi" w:hAnsiTheme="minorHAnsi"/>
          <w:sz w:val="20"/>
          <w:szCs w:val="20"/>
        </w:rPr>
      </w:pPr>
      <w:r w:rsidRPr="00831346">
        <w:rPr>
          <w:rStyle w:val="Rimandonotaapidipagina"/>
          <w:rFonts w:asciiTheme="minorHAnsi" w:hAnsiTheme="minorHAnsi"/>
          <w:sz w:val="20"/>
          <w:szCs w:val="20"/>
        </w:rPr>
        <w:footnoteRef/>
      </w:r>
      <w:r w:rsidRPr="00831346">
        <w:rPr>
          <w:rFonts w:asciiTheme="minorHAnsi" w:hAnsiTheme="minorHAnsi"/>
          <w:sz w:val="20"/>
          <w:szCs w:val="20"/>
        </w:rPr>
        <w:t xml:space="preserve"> Reg. (UE) 11 dicembre 2013, n.</w:t>
      </w:r>
      <w:r w:rsidRPr="00831346">
        <w:rPr>
          <w:rFonts w:asciiTheme="minorHAnsi" w:eastAsiaTheme="minorHAnsi" w:hAnsiTheme="minorHAnsi"/>
          <w:bCs/>
          <w:sz w:val="20"/>
          <w:szCs w:val="20"/>
        </w:rPr>
        <w:t xml:space="preserve"> 1291/2013 </w:t>
      </w:r>
      <w:r w:rsidRPr="00831346">
        <w:rPr>
          <w:rFonts w:asciiTheme="minorHAnsi" w:hAnsiTheme="minorHAnsi"/>
          <w:bCs/>
          <w:sz w:val="20"/>
          <w:szCs w:val="20"/>
        </w:rPr>
        <w:t>che istituisce il programma quadro di ricerca e innovazione “(2014-2020) -</w:t>
      </w:r>
      <w:r>
        <w:rPr>
          <w:rFonts w:asciiTheme="minorHAnsi" w:hAnsiTheme="minorHAnsi"/>
          <w:bCs/>
          <w:sz w:val="20"/>
          <w:szCs w:val="20"/>
        </w:rPr>
        <w:t xml:space="preserve"> </w:t>
      </w:r>
      <w:r w:rsidRPr="00831346">
        <w:rPr>
          <w:rFonts w:asciiTheme="minorHAnsi" w:hAnsiTheme="minorHAnsi"/>
          <w:bCs/>
          <w:sz w:val="20"/>
          <w:szCs w:val="20"/>
        </w:rPr>
        <w:t>Orizzonte 2020” e abroga la decisione n. 1982/2006/CE</w:t>
      </w:r>
      <w:r>
        <w:rPr>
          <w:rFonts w:asciiTheme="minorHAnsi" w:hAnsiTheme="minorHAnsi"/>
          <w:bCs/>
          <w:sz w:val="20"/>
          <w:szCs w:val="20"/>
        </w:rPr>
        <w:t xml:space="preserve"> </w:t>
      </w:r>
      <w:r w:rsidRPr="00831346">
        <w:rPr>
          <w:rFonts w:asciiTheme="minorHAnsi" w:hAnsiTheme="minorHAnsi"/>
          <w:sz w:val="20"/>
          <w:szCs w:val="20"/>
        </w:rPr>
        <w:t xml:space="preserve">&lt;https://www.researchitaly.it/uploads/8194/regolamento.pdf?v=176d16a&gt; </w:t>
      </w:r>
      <w:r w:rsidRPr="00B101E0">
        <w:rPr>
          <w:rFonts w:asciiTheme="minorHAnsi" w:hAnsiTheme="minorHAnsi"/>
          <w:sz w:val="20"/>
          <w:szCs w:val="20"/>
        </w:rPr>
        <w:t>e</w:t>
      </w:r>
      <w:r w:rsidRPr="00B101E0">
        <w:rPr>
          <w:color w:val="FF0000"/>
          <w:sz w:val="20"/>
          <w:szCs w:val="20"/>
        </w:rPr>
        <w:t xml:space="preserve"> </w:t>
      </w:r>
      <w:r w:rsidRPr="00B101E0">
        <w:rPr>
          <w:rFonts w:asciiTheme="minorHAnsi" w:hAnsiTheme="minorHAnsi"/>
          <w:sz w:val="20"/>
          <w:szCs w:val="20"/>
        </w:rPr>
        <w:t xml:space="preserve">per i bandi Commissione Europea 2016, 2017a e </w:t>
      </w:r>
      <w:r w:rsidRPr="00692EEB">
        <w:rPr>
          <w:rFonts w:asciiTheme="minorHAnsi" w:hAnsiTheme="minorHAnsi"/>
          <w:sz w:val="20"/>
          <w:szCs w:val="20"/>
        </w:rPr>
        <w:t>2018b</w:t>
      </w:r>
      <w:r w:rsidRPr="00692EEB">
        <w:t xml:space="preserve"> </w:t>
      </w:r>
      <w:r w:rsidRPr="00692EEB">
        <w:rPr>
          <w:sz w:val="20"/>
          <w:szCs w:val="20"/>
        </w:rPr>
        <w:t>cfr. &lt;http://ec.europa.eu/research/participants/portal/desktop/en/opportunities/h2020/index.html&gt; 22.03.2018.</w:t>
      </w:r>
    </w:p>
  </w:footnote>
  <w:footnote w:id="23">
    <w:p w14:paraId="66B0CBBE" w14:textId="77777777" w:rsidR="00E5314E" w:rsidRPr="00A8460D" w:rsidRDefault="00E5314E" w:rsidP="007519C3">
      <w:pPr>
        <w:pStyle w:val="Testonotaapidipagina"/>
      </w:pPr>
      <w:r>
        <w:rPr>
          <w:rStyle w:val="Rimandonotaapidipagina"/>
        </w:rPr>
        <w:footnoteRef/>
      </w:r>
      <w:r>
        <w:t xml:space="preserve"> CRUI, </w:t>
      </w:r>
      <w:r w:rsidRPr="00A8460D">
        <w:t>Commissione Biblioteche, Gruppo Open Access</w:t>
      </w:r>
      <w:r w:rsidRPr="00A8460D">
        <w:rPr>
          <w:i/>
        </w:rPr>
        <w:t xml:space="preserve"> </w:t>
      </w:r>
      <w:r w:rsidRPr="00A8460D">
        <w:t>2007</w:t>
      </w:r>
      <w:r>
        <w:t>.</w:t>
      </w:r>
    </w:p>
  </w:footnote>
  <w:footnote w:id="24">
    <w:p w14:paraId="278529FE" w14:textId="77777777" w:rsidR="00E5314E" w:rsidRPr="002A7EE5" w:rsidRDefault="00E5314E" w:rsidP="007519C3">
      <w:pPr>
        <w:spacing w:after="0" w:line="240" w:lineRule="auto"/>
        <w:jc w:val="both"/>
        <w:rPr>
          <w:rFonts w:eastAsia="Times New Roman" w:cs="Times New Roman"/>
          <w:color w:val="FF0000"/>
          <w:sz w:val="20"/>
          <w:szCs w:val="20"/>
          <w:shd w:val="clear" w:color="auto" w:fill="FFFFFF"/>
          <w:lang w:eastAsia="it-IT"/>
        </w:rPr>
      </w:pPr>
      <w:r>
        <w:rPr>
          <w:rStyle w:val="Rimandonotaapidipagina"/>
        </w:rPr>
        <w:footnoteRef/>
      </w:r>
      <w:r>
        <w:t xml:space="preserve"> </w:t>
      </w:r>
      <w:r w:rsidRPr="002A7EE5">
        <w:rPr>
          <w:rFonts w:eastAsia="Times New Roman" w:cs="Times New Roman"/>
          <w:sz w:val="20"/>
          <w:szCs w:val="20"/>
          <w:shd w:val="clear" w:color="auto" w:fill="FFFFFF"/>
          <w:lang w:eastAsia="it-IT"/>
        </w:rPr>
        <w:t xml:space="preserve">Circ. MIUR 20 luglio 2007, n. </w:t>
      </w:r>
      <w:proofErr w:type="gramStart"/>
      <w:r w:rsidRPr="002A7EE5">
        <w:rPr>
          <w:rFonts w:eastAsia="Times New Roman" w:cs="Times New Roman"/>
          <w:sz w:val="20"/>
          <w:szCs w:val="20"/>
          <w:shd w:val="clear" w:color="auto" w:fill="FFFFFF"/>
          <w:lang w:eastAsia="it-IT"/>
        </w:rPr>
        <w:t>1746</w:t>
      </w:r>
      <w:r w:rsidRPr="002A7EE5">
        <w:rPr>
          <w:rFonts w:eastAsia="Times New Roman" w:cs="Times New Roman"/>
          <w:color w:val="FF0000"/>
          <w:sz w:val="20"/>
          <w:szCs w:val="20"/>
          <w:shd w:val="clear" w:color="auto" w:fill="FFFFFF"/>
          <w:lang w:eastAsia="it-IT"/>
        </w:rPr>
        <w:t xml:space="preserve"> </w:t>
      </w:r>
      <w:r>
        <w:rPr>
          <w:rFonts w:eastAsia="Times New Roman" w:cs="Times New Roman"/>
          <w:color w:val="FF0000"/>
          <w:sz w:val="20"/>
          <w:szCs w:val="20"/>
          <w:shd w:val="clear" w:color="auto" w:fill="FFFFFF"/>
          <w:lang w:eastAsia="it-IT"/>
        </w:rPr>
        <w:t>.</w:t>
      </w:r>
      <w:proofErr w:type="gramEnd"/>
    </w:p>
  </w:footnote>
  <w:footnote w:id="25">
    <w:p w14:paraId="3AA8B351" w14:textId="0592EFD2" w:rsidR="00E5314E" w:rsidRPr="002A7EE5" w:rsidRDefault="00E5314E" w:rsidP="007519C3">
      <w:pPr>
        <w:pStyle w:val="Testonotaapidipagina"/>
      </w:pPr>
      <w:r w:rsidRPr="002A7EE5">
        <w:rPr>
          <w:rStyle w:val="Rimandonotaapidipagina"/>
        </w:rPr>
        <w:footnoteRef/>
      </w:r>
      <w:r w:rsidRPr="002A7EE5">
        <w:t xml:space="preserve"> CRUI, Commissione Biblioteche, Gruppo Open Access</w:t>
      </w:r>
      <w:r w:rsidRPr="002A7EE5">
        <w:rPr>
          <w:i/>
        </w:rPr>
        <w:t xml:space="preserve"> </w:t>
      </w:r>
      <w:r w:rsidRPr="002A7EE5">
        <w:t>2009</w:t>
      </w:r>
      <w:r>
        <w:t>a.</w:t>
      </w:r>
    </w:p>
  </w:footnote>
  <w:footnote w:id="26">
    <w:p w14:paraId="74F3ED2F" w14:textId="77777777" w:rsidR="00E5314E" w:rsidRPr="002A7EE5" w:rsidRDefault="00E5314E" w:rsidP="007519C3">
      <w:pPr>
        <w:pStyle w:val="Testonotaapidipagina"/>
      </w:pPr>
      <w:r w:rsidRPr="002A7EE5">
        <w:rPr>
          <w:rStyle w:val="Rimandonotaapidipagina"/>
        </w:rPr>
        <w:footnoteRef/>
      </w:r>
      <w:r w:rsidRPr="002A7EE5">
        <w:t xml:space="preserve"> </w:t>
      </w:r>
      <w:r w:rsidRPr="002A7EE5">
        <w:rPr>
          <w:i/>
        </w:rPr>
        <w:t>Ibidem</w:t>
      </w:r>
      <w:r>
        <w:t xml:space="preserve"> p. 10.</w:t>
      </w:r>
    </w:p>
  </w:footnote>
  <w:footnote w:id="27">
    <w:p w14:paraId="4CDF1E35" w14:textId="77777777" w:rsidR="00E5314E" w:rsidRPr="002A7EE5" w:rsidRDefault="00E5314E" w:rsidP="007519C3">
      <w:pPr>
        <w:pStyle w:val="Testonotaapidipagina"/>
      </w:pPr>
      <w:r w:rsidRPr="002A7EE5">
        <w:rPr>
          <w:rStyle w:val="Rimandonotaapidipagina"/>
        </w:rPr>
        <w:footnoteRef/>
      </w:r>
      <w:r w:rsidRPr="002A7EE5">
        <w:t xml:space="preserve"> </w:t>
      </w:r>
      <w:r w:rsidRPr="002A7EE5">
        <w:rPr>
          <w:i/>
        </w:rPr>
        <w:t>Ibidem</w:t>
      </w:r>
      <w:r>
        <w:t xml:space="preserve"> p. 6.</w:t>
      </w:r>
    </w:p>
  </w:footnote>
  <w:footnote w:id="28">
    <w:p w14:paraId="2696B418" w14:textId="77777777" w:rsidR="00E5314E" w:rsidRPr="002A7EE5" w:rsidRDefault="00E5314E" w:rsidP="007519C3">
      <w:pPr>
        <w:pStyle w:val="Testonotaapidipagina"/>
      </w:pPr>
      <w:r w:rsidRPr="002A7EE5">
        <w:rPr>
          <w:rStyle w:val="Rimandonotaapidipagina"/>
        </w:rPr>
        <w:footnoteRef/>
      </w:r>
      <w:r w:rsidRPr="002A7EE5">
        <w:t xml:space="preserve"> </w:t>
      </w:r>
      <w:r w:rsidRPr="002A7EE5">
        <w:rPr>
          <w:i/>
        </w:rPr>
        <w:t>Ibidem</w:t>
      </w:r>
      <w:r w:rsidRPr="002A7EE5">
        <w:t xml:space="preserve"> p.15 e p.23</w:t>
      </w:r>
      <w:r>
        <w:t>.</w:t>
      </w:r>
    </w:p>
  </w:footnote>
  <w:footnote w:id="29">
    <w:p w14:paraId="7E87B237" w14:textId="77777777" w:rsidR="00E5314E" w:rsidRPr="002A7EE5" w:rsidRDefault="00E5314E" w:rsidP="007519C3">
      <w:pPr>
        <w:pStyle w:val="Testonotaapidipagina"/>
      </w:pPr>
      <w:r w:rsidRPr="002A7EE5">
        <w:rPr>
          <w:rStyle w:val="Rimandonotaapidipagina"/>
        </w:rPr>
        <w:footnoteRef/>
      </w:r>
      <w:r w:rsidRPr="002A7EE5">
        <w:t xml:space="preserve"> CRUI, Commissione Biblioteche, Gruppo Open Access</w:t>
      </w:r>
      <w:r w:rsidRPr="002A7EE5">
        <w:rPr>
          <w:i/>
        </w:rPr>
        <w:t xml:space="preserve"> </w:t>
      </w:r>
      <w:r w:rsidRPr="002A7EE5">
        <w:t>2012</w:t>
      </w:r>
      <w:r>
        <w:t>.</w:t>
      </w:r>
    </w:p>
  </w:footnote>
  <w:footnote w:id="30">
    <w:p w14:paraId="36CCDC58" w14:textId="3F344EC4" w:rsidR="00E5314E" w:rsidRPr="002A7EE5" w:rsidRDefault="00E5314E" w:rsidP="007519C3">
      <w:pPr>
        <w:pStyle w:val="Testonotaapidipagina"/>
      </w:pPr>
      <w:r w:rsidRPr="002A7EE5">
        <w:rPr>
          <w:rStyle w:val="Rimandonotaapidipagina"/>
        </w:rPr>
        <w:footnoteRef/>
      </w:r>
      <w:r w:rsidRPr="002A7EE5">
        <w:t xml:space="preserve"> CRUI, Commissione Biblioteche, Gruppo Open Access</w:t>
      </w:r>
      <w:r w:rsidRPr="002A7EE5">
        <w:rPr>
          <w:i/>
        </w:rPr>
        <w:t xml:space="preserve"> </w:t>
      </w:r>
      <w:r w:rsidRPr="002A7EE5">
        <w:t>2009</w:t>
      </w:r>
      <w:r>
        <w:t>b.</w:t>
      </w:r>
    </w:p>
  </w:footnote>
  <w:footnote w:id="31">
    <w:p w14:paraId="6C2DF941" w14:textId="77777777" w:rsidR="00E5314E" w:rsidRPr="002A7EE5" w:rsidRDefault="00E5314E" w:rsidP="007519C3">
      <w:pPr>
        <w:pStyle w:val="Testonotaapidipagina"/>
      </w:pPr>
      <w:r w:rsidRPr="002A7EE5">
        <w:rPr>
          <w:rStyle w:val="Rimandonotaapidipagina"/>
        </w:rPr>
        <w:footnoteRef/>
      </w:r>
      <w:r w:rsidRPr="002A7EE5">
        <w:t xml:space="preserve"> </w:t>
      </w:r>
      <w:r w:rsidRPr="002A7EE5">
        <w:rPr>
          <w:i/>
        </w:rPr>
        <w:t xml:space="preserve">Ibidem </w:t>
      </w:r>
      <w:r w:rsidRPr="002A7EE5">
        <w:t>p. 13</w:t>
      </w:r>
      <w:r>
        <w:t>.</w:t>
      </w:r>
    </w:p>
  </w:footnote>
  <w:footnote w:id="32">
    <w:p w14:paraId="3AC011EC" w14:textId="105B35B6" w:rsidR="00E5314E" w:rsidRPr="002A7EE5" w:rsidRDefault="00E5314E" w:rsidP="007519C3">
      <w:pPr>
        <w:pStyle w:val="Testonotaapidipagina"/>
      </w:pPr>
      <w:r w:rsidRPr="002A7EE5">
        <w:rPr>
          <w:rStyle w:val="Rimandonotaapidipagina"/>
        </w:rPr>
        <w:footnoteRef/>
      </w:r>
      <w:r w:rsidR="00ED3184">
        <w:t xml:space="preserve"> </w:t>
      </w:r>
      <w:r w:rsidRPr="002A7EE5">
        <w:t>CRUI, Commissione Biblioteche, Gruppo Open Access</w:t>
      </w:r>
      <w:r w:rsidRPr="002A7EE5">
        <w:rPr>
          <w:i/>
        </w:rPr>
        <w:t xml:space="preserve"> </w:t>
      </w:r>
      <w:r w:rsidRPr="002A7EE5">
        <w:t>2009</w:t>
      </w:r>
      <w:r>
        <w:t>c.</w:t>
      </w:r>
    </w:p>
  </w:footnote>
  <w:footnote w:id="33">
    <w:p w14:paraId="757C665E" w14:textId="77777777" w:rsidR="00E5314E" w:rsidRPr="002A7EE5" w:rsidRDefault="00E5314E" w:rsidP="007519C3">
      <w:pPr>
        <w:pStyle w:val="Testonotaapidipagina"/>
      </w:pPr>
      <w:r w:rsidRPr="002A7EE5">
        <w:rPr>
          <w:rStyle w:val="Rimandonotaapidipagina"/>
        </w:rPr>
        <w:footnoteRef/>
      </w:r>
      <w:r w:rsidRPr="002A7EE5">
        <w:t xml:space="preserve"> CRUI, Commissione Biblioteche, Gruppo Open Access</w:t>
      </w:r>
      <w:r w:rsidRPr="002A7EE5">
        <w:rPr>
          <w:i/>
        </w:rPr>
        <w:t xml:space="preserve"> </w:t>
      </w:r>
      <w:r w:rsidRPr="002A7EE5">
        <w:t>2013</w:t>
      </w:r>
      <w:r>
        <w:t>.</w:t>
      </w:r>
    </w:p>
  </w:footnote>
  <w:footnote w:id="34">
    <w:p w14:paraId="29F6E86E" w14:textId="77777777" w:rsidR="00E5314E" w:rsidRDefault="00E5314E" w:rsidP="007F7CC6">
      <w:pPr>
        <w:pStyle w:val="Testonotaapidipagina"/>
        <w:jc w:val="both"/>
      </w:pPr>
      <w:r>
        <w:rPr>
          <w:rStyle w:val="Rimandonotaapidipagina"/>
        </w:rPr>
        <w:footnoteRef/>
      </w:r>
      <w:r>
        <w:t xml:space="preserve"> </w:t>
      </w:r>
      <w:r w:rsidRPr="00E92DEC">
        <w:t>L. 7 ottobre 2013, n.112 “</w:t>
      </w:r>
      <w:r w:rsidRPr="00E92DEC">
        <w:rPr>
          <w:rFonts w:eastAsia="Times New Roman" w:cs="Arial"/>
          <w:shd w:val="clear" w:color="auto" w:fill="FFFFFF"/>
          <w:lang w:eastAsia="it-IT"/>
        </w:rPr>
        <w:t>Conversione in </w:t>
      </w:r>
      <w:r w:rsidRPr="00E92DEC">
        <w:rPr>
          <w:rFonts w:eastAsia="Times New Roman" w:cs="Arial"/>
          <w:bCs/>
          <w:lang w:eastAsia="it-IT"/>
        </w:rPr>
        <w:t>legge</w:t>
      </w:r>
      <w:r w:rsidRPr="00E92DEC">
        <w:rPr>
          <w:rFonts w:eastAsia="Times New Roman" w:cs="Arial"/>
          <w:shd w:val="clear" w:color="auto" w:fill="FFFFFF"/>
          <w:lang w:eastAsia="it-IT"/>
        </w:rPr>
        <w:t>, con modificazioni, </w:t>
      </w:r>
      <w:r w:rsidRPr="00E92DEC">
        <w:rPr>
          <w:rFonts w:eastAsia="Times New Roman" w:cs="Arial"/>
          <w:bCs/>
          <w:lang w:eastAsia="it-IT"/>
        </w:rPr>
        <w:t>del</w:t>
      </w:r>
      <w:r w:rsidRPr="00E92DEC">
        <w:rPr>
          <w:rFonts w:eastAsia="Times New Roman" w:cs="Arial"/>
          <w:shd w:val="clear" w:color="auto" w:fill="FFFFFF"/>
          <w:lang w:eastAsia="it-IT"/>
        </w:rPr>
        <w:t> decreto-</w:t>
      </w:r>
      <w:r w:rsidRPr="00E92DEC">
        <w:rPr>
          <w:rFonts w:eastAsia="Times New Roman" w:cs="Arial"/>
          <w:bCs/>
          <w:lang w:eastAsia="it-IT"/>
        </w:rPr>
        <w:t>legge</w:t>
      </w:r>
      <w:r w:rsidRPr="00E92DEC">
        <w:rPr>
          <w:rFonts w:eastAsia="Times New Roman" w:cs="Arial"/>
          <w:shd w:val="clear" w:color="auto" w:fill="FFFFFF"/>
          <w:lang w:eastAsia="it-IT"/>
        </w:rPr>
        <w:t> 8 agosto 2013, n. 91, recante disposizioni urgenti per la tutela, la valorizzazione e il rilancio dei beni e delle attività culturali e </w:t>
      </w:r>
      <w:r w:rsidRPr="00E92DEC">
        <w:rPr>
          <w:rFonts w:eastAsia="Times New Roman" w:cs="Arial"/>
          <w:bCs/>
          <w:lang w:eastAsia="it-IT"/>
        </w:rPr>
        <w:t>del</w:t>
      </w:r>
      <w:r w:rsidRPr="00E92DEC">
        <w:rPr>
          <w:rFonts w:eastAsia="Times New Roman" w:cs="Arial"/>
          <w:shd w:val="clear" w:color="auto" w:fill="FFFFFF"/>
          <w:lang w:eastAsia="it-IT"/>
        </w:rPr>
        <w:t> turismo”</w:t>
      </w:r>
    </w:p>
  </w:footnote>
  <w:footnote w:id="35">
    <w:p w14:paraId="003F8F1E" w14:textId="77777777" w:rsidR="00E5314E" w:rsidRDefault="00E5314E" w:rsidP="007F7CC6">
      <w:pPr>
        <w:pStyle w:val="Testonotaapidipagina"/>
        <w:jc w:val="both"/>
      </w:pPr>
      <w:r>
        <w:rPr>
          <w:rStyle w:val="Rimandonotaapidipagina"/>
        </w:rPr>
        <w:footnoteRef/>
      </w:r>
      <w:r>
        <w:t xml:space="preserve"> </w:t>
      </w:r>
      <w:r w:rsidRPr="00E92DEC">
        <w:t xml:space="preserve">D.D. del 23 gennaio 2014, n. 197, </w:t>
      </w:r>
      <w:r w:rsidRPr="00E92DEC">
        <w:rPr>
          <w:rFonts w:cs="Arial"/>
        </w:rPr>
        <w:t>Bando relativo al programma SIR (</w:t>
      </w:r>
      <w:proofErr w:type="spellStart"/>
      <w:r w:rsidRPr="00E92DEC">
        <w:rPr>
          <w:rFonts w:cs="Arial"/>
        </w:rPr>
        <w:t>Scientific</w:t>
      </w:r>
      <w:proofErr w:type="spellEnd"/>
      <w:r w:rsidRPr="00E92DEC">
        <w:rPr>
          <w:rFonts w:cs="Arial"/>
        </w:rPr>
        <w:t xml:space="preserve"> Independence of </w:t>
      </w:r>
      <w:proofErr w:type="spellStart"/>
      <w:r w:rsidRPr="00E92DEC">
        <w:rPr>
          <w:rFonts w:cs="Arial"/>
        </w:rPr>
        <w:t>young</w:t>
      </w:r>
      <w:proofErr w:type="spellEnd"/>
      <w:r w:rsidRPr="00E92DEC">
        <w:rPr>
          <w:rFonts w:cs="Arial"/>
        </w:rPr>
        <w:t xml:space="preserve"> </w:t>
      </w:r>
      <w:proofErr w:type="spellStart"/>
      <w:r w:rsidRPr="00E92DEC">
        <w:rPr>
          <w:rFonts w:cs="Arial"/>
        </w:rPr>
        <w:t>Researchers</w:t>
      </w:r>
      <w:proofErr w:type="spellEnd"/>
      <w:r w:rsidRPr="00E92DEC">
        <w:rPr>
          <w:rFonts w:cs="Arial"/>
        </w:rPr>
        <w:t>) 2014</w:t>
      </w:r>
      <w:r>
        <w:rPr>
          <w:rFonts w:cs="Arial"/>
        </w:rPr>
        <w:t>.</w:t>
      </w:r>
    </w:p>
  </w:footnote>
  <w:footnote w:id="36">
    <w:p w14:paraId="7E401428" w14:textId="77777777" w:rsidR="00E5314E" w:rsidRPr="002A7EE5" w:rsidRDefault="00E5314E" w:rsidP="00FD4C0D">
      <w:pPr>
        <w:pStyle w:val="Testonotaapidipagina"/>
      </w:pPr>
      <w:r w:rsidRPr="002A7EE5">
        <w:rPr>
          <w:rStyle w:val="Rimandonotaapidipagina"/>
        </w:rPr>
        <w:footnoteRef/>
      </w:r>
      <w:r w:rsidRPr="002A7EE5">
        <w:t xml:space="preserve"> D.D. del 27 dicembre 2917, n. 3728 “Bando </w:t>
      </w:r>
      <w:proofErr w:type="spellStart"/>
      <w:r w:rsidRPr="002A7EE5">
        <w:t>Prin</w:t>
      </w:r>
      <w:proofErr w:type="spellEnd"/>
      <w:r w:rsidRPr="002A7EE5">
        <w:t xml:space="preserve"> 2017”</w:t>
      </w:r>
      <w:r>
        <w:t>.</w:t>
      </w:r>
    </w:p>
  </w:footnote>
  <w:footnote w:id="37">
    <w:p w14:paraId="7B52323F" w14:textId="77777777" w:rsidR="00E5314E" w:rsidRDefault="00E5314E">
      <w:pPr>
        <w:pStyle w:val="Testonotaapidipagina"/>
      </w:pPr>
      <w:r>
        <w:rPr>
          <w:rStyle w:val="Rimandonotaapidipagina"/>
        </w:rPr>
        <w:footnoteRef/>
      </w:r>
      <w:r>
        <w:t xml:space="preserve"> Università degli studi di Macerata 2012, p. 4</w:t>
      </w:r>
    </w:p>
  </w:footnote>
  <w:footnote w:id="38">
    <w:p w14:paraId="1B5E947F" w14:textId="77777777" w:rsidR="00E5314E" w:rsidRDefault="00E5314E">
      <w:pPr>
        <w:pStyle w:val="Testonotaapidipagina"/>
      </w:pPr>
      <w:r>
        <w:rPr>
          <w:rStyle w:val="Rimandonotaapidipagina"/>
        </w:rPr>
        <w:footnoteRef/>
      </w:r>
      <w:r>
        <w:t xml:space="preserve"> </w:t>
      </w:r>
      <w:proofErr w:type="spellStart"/>
      <w:r>
        <w:t>Vetrò</w:t>
      </w:r>
      <w:proofErr w:type="spellEnd"/>
      <w:r>
        <w:t>, Bianco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6D90"/>
    <w:multiLevelType w:val="hybridMultilevel"/>
    <w:tmpl w:val="EBB646C8"/>
    <w:lvl w:ilvl="0" w:tplc="1B10822E">
      <w:start w:val="1"/>
      <w:numFmt w:val="upperLetter"/>
      <w:lvlText w:val="(%1)"/>
      <w:lvlJc w:val="left"/>
      <w:pPr>
        <w:ind w:left="-132" w:hanging="360"/>
      </w:pPr>
      <w:rPr>
        <w:rFonts w:hint="default"/>
      </w:rPr>
    </w:lvl>
    <w:lvl w:ilvl="1" w:tplc="04100019" w:tentative="1">
      <w:start w:val="1"/>
      <w:numFmt w:val="lowerLetter"/>
      <w:lvlText w:val="%2."/>
      <w:lvlJc w:val="left"/>
      <w:pPr>
        <w:ind w:left="588" w:hanging="360"/>
      </w:pPr>
    </w:lvl>
    <w:lvl w:ilvl="2" w:tplc="0410001B" w:tentative="1">
      <w:start w:val="1"/>
      <w:numFmt w:val="lowerRoman"/>
      <w:lvlText w:val="%3."/>
      <w:lvlJc w:val="right"/>
      <w:pPr>
        <w:ind w:left="1308" w:hanging="180"/>
      </w:pPr>
    </w:lvl>
    <w:lvl w:ilvl="3" w:tplc="0410000F" w:tentative="1">
      <w:start w:val="1"/>
      <w:numFmt w:val="decimal"/>
      <w:lvlText w:val="%4."/>
      <w:lvlJc w:val="left"/>
      <w:pPr>
        <w:ind w:left="2028" w:hanging="360"/>
      </w:pPr>
    </w:lvl>
    <w:lvl w:ilvl="4" w:tplc="04100019" w:tentative="1">
      <w:start w:val="1"/>
      <w:numFmt w:val="lowerLetter"/>
      <w:lvlText w:val="%5."/>
      <w:lvlJc w:val="left"/>
      <w:pPr>
        <w:ind w:left="2748" w:hanging="360"/>
      </w:pPr>
    </w:lvl>
    <w:lvl w:ilvl="5" w:tplc="0410001B" w:tentative="1">
      <w:start w:val="1"/>
      <w:numFmt w:val="lowerRoman"/>
      <w:lvlText w:val="%6."/>
      <w:lvlJc w:val="right"/>
      <w:pPr>
        <w:ind w:left="3468" w:hanging="180"/>
      </w:pPr>
    </w:lvl>
    <w:lvl w:ilvl="6" w:tplc="0410000F" w:tentative="1">
      <w:start w:val="1"/>
      <w:numFmt w:val="decimal"/>
      <w:lvlText w:val="%7."/>
      <w:lvlJc w:val="left"/>
      <w:pPr>
        <w:ind w:left="4188" w:hanging="360"/>
      </w:pPr>
    </w:lvl>
    <w:lvl w:ilvl="7" w:tplc="04100019" w:tentative="1">
      <w:start w:val="1"/>
      <w:numFmt w:val="lowerLetter"/>
      <w:lvlText w:val="%8."/>
      <w:lvlJc w:val="left"/>
      <w:pPr>
        <w:ind w:left="4908" w:hanging="360"/>
      </w:pPr>
    </w:lvl>
    <w:lvl w:ilvl="8" w:tplc="0410001B" w:tentative="1">
      <w:start w:val="1"/>
      <w:numFmt w:val="lowerRoman"/>
      <w:lvlText w:val="%9."/>
      <w:lvlJc w:val="right"/>
      <w:pPr>
        <w:ind w:left="5628" w:hanging="180"/>
      </w:pPr>
    </w:lvl>
  </w:abstractNum>
  <w:abstractNum w:abstractNumId="1" w15:restartNumberingAfterBreak="0">
    <w:nsid w:val="023F6288"/>
    <w:multiLevelType w:val="hybridMultilevel"/>
    <w:tmpl w:val="6C544DB4"/>
    <w:lvl w:ilvl="0" w:tplc="1B10822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CC4F04"/>
    <w:multiLevelType w:val="hybridMultilevel"/>
    <w:tmpl w:val="693A620A"/>
    <w:lvl w:ilvl="0" w:tplc="1B10822E">
      <w:start w:val="1"/>
      <w:numFmt w:val="upperLetter"/>
      <w:lvlText w:val="(%1)"/>
      <w:lvlJc w:val="left"/>
      <w:pPr>
        <w:ind w:left="-132" w:hanging="360"/>
      </w:pPr>
      <w:rPr>
        <w:rFonts w:hint="default"/>
      </w:rPr>
    </w:lvl>
    <w:lvl w:ilvl="1" w:tplc="04100019">
      <w:start w:val="1"/>
      <w:numFmt w:val="lowerLetter"/>
      <w:lvlText w:val="%2."/>
      <w:lvlJc w:val="left"/>
      <w:pPr>
        <w:ind w:left="588" w:hanging="360"/>
      </w:pPr>
    </w:lvl>
    <w:lvl w:ilvl="2" w:tplc="0410001B">
      <w:start w:val="1"/>
      <w:numFmt w:val="lowerRoman"/>
      <w:lvlText w:val="%3."/>
      <w:lvlJc w:val="right"/>
      <w:pPr>
        <w:ind w:left="1308" w:hanging="180"/>
      </w:pPr>
    </w:lvl>
    <w:lvl w:ilvl="3" w:tplc="0410000F" w:tentative="1">
      <w:start w:val="1"/>
      <w:numFmt w:val="decimal"/>
      <w:lvlText w:val="%4."/>
      <w:lvlJc w:val="left"/>
      <w:pPr>
        <w:ind w:left="2028" w:hanging="360"/>
      </w:pPr>
    </w:lvl>
    <w:lvl w:ilvl="4" w:tplc="04100019" w:tentative="1">
      <w:start w:val="1"/>
      <w:numFmt w:val="lowerLetter"/>
      <w:lvlText w:val="%5."/>
      <w:lvlJc w:val="left"/>
      <w:pPr>
        <w:ind w:left="2748" w:hanging="360"/>
      </w:pPr>
    </w:lvl>
    <w:lvl w:ilvl="5" w:tplc="0410001B" w:tentative="1">
      <w:start w:val="1"/>
      <w:numFmt w:val="lowerRoman"/>
      <w:lvlText w:val="%6."/>
      <w:lvlJc w:val="right"/>
      <w:pPr>
        <w:ind w:left="3468" w:hanging="180"/>
      </w:pPr>
    </w:lvl>
    <w:lvl w:ilvl="6" w:tplc="0410000F" w:tentative="1">
      <w:start w:val="1"/>
      <w:numFmt w:val="decimal"/>
      <w:lvlText w:val="%7."/>
      <w:lvlJc w:val="left"/>
      <w:pPr>
        <w:ind w:left="4188" w:hanging="360"/>
      </w:pPr>
    </w:lvl>
    <w:lvl w:ilvl="7" w:tplc="04100019" w:tentative="1">
      <w:start w:val="1"/>
      <w:numFmt w:val="lowerLetter"/>
      <w:lvlText w:val="%8."/>
      <w:lvlJc w:val="left"/>
      <w:pPr>
        <w:ind w:left="4908" w:hanging="360"/>
      </w:pPr>
    </w:lvl>
    <w:lvl w:ilvl="8" w:tplc="0410001B" w:tentative="1">
      <w:start w:val="1"/>
      <w:numFmt w:val="lowerRoman"/>
      <w:lvlText w:val="%9."/>
      <w:lvlJc w:val="right"/>
      <w:pPr>
        <w:ind w:left="5628" w:hanging="180"/>
      </w:pPr>
    </w:lvl>
  </w:abstractNum>
  <w:abstractNum w:abstractNumId="3" w15:restartNumberingAfterBreak="0">
    <w:nsid w:val="08123A2B"/>
    <w:multiLevelType w:val="hybridMultilevel"/>
    <w:tmpl w:val="7B2E3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502BB2"/>
    <w:multiLevelType w:val="hybridMultilevel"/>
    <w:tmpl w:val="1B4A35A4"/>
    <w:lvl w:ilvl="0" w:tplc="04100001">
      <w:start w:val="1"/>
      <w:numFmt w:val="bullet"/>
      <w:lvlText w:val=""/>
      <w:lvlJc w:val="left"/>
      <w:pPr>
        <w:ind w:left="1050" w:hanging="360"/>
      </w:pPr>
      <w:rPr>
        <w:rFonts w:ascii="Symbol" w:hAnsi="Symbol" w:hint="default"/>
      </w:rPr>
    </w:lvl>
    <w:lvl w:ilvl="1" w:tplc="04100003">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5" w15:restartNumberingAfterBreak="0">
    <w:nsid w:val="157844D8"/>
    <w:multiLevelType w:val="hybridMultilevel"/>
    <w:tmpl w:val="86FCFAE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AA07CE4"/>
    <w:multiLevelType w:val="multilevel"/>
    <w:tmpl w:val="635E8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A15C1"/>
    <w:multiLevelType w:val="hybridMultilevel"/>
    <w:tmpl w:val="82C2F4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3B35F0"/>
    <w:multiLevelType w:val="hybridMultilevel"/>
    <w:tmpl w:val="BEF8C2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CB10B9"/>
    <w:multiLevelType w:val="hybridMultilevel"/>
    <w:tmpl w:val="EEFE4AC8"/>
    <w:lvl w:ilvl="0" w:tplc="1B10822E">
      <w:start w:val="5"/>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9E031A"/>
    <w:multiLevelType w:val="hybridMultilevel"/>
    <w:tmpl w:val="AC281136"/>
    <w:lvl w:ilvl="0" w:tplc="1B10822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1F359F"/>
    <w:multiLevelType w:val="multilevel"/>
    <w:tmpl w:val="B1D017D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1E79F8"/>
    <w:multiLevelType w:val="hybridMultilevel"/>
    <w:tmpl w:val="335CD5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6318F6"/>
    <w:multiLevelType w:val="hybridMultilevel"/>
    <w:tmpl w:val="7D9A0B6C"/>
    <w:lvl w:ilvl="0" w:tplc="59F0A7B6">
      <w:start w:val="5"/>
      <w:numFmt w:val="upperLetter"/>
      <w:lvlText w:val="(%1)"/>
      <w:lvlJc w:val="left"/>
      <w:pPr>
        <w:ind w:left="588" w:hanging="360"/>
      </w:pPr>
      <w:rPr>
        <w:rFonts w:hint="default"/>
      </w:rPr>
    </w:lvl>
    <w:lvl w:ilvl="1" w:tplc="04100019" w:tentative="1">
      <w:start w:val="1"/>
      <w:numFmt w:val="lowerLetter"/>
      <w:lvlText w:val="%2."/>
      <w:lvlJc w:val="left"/>
      <w:pPr>
        <w:ind w:left="1308" w:hanging="360"/>
      </w:pPr>
    </w:lvl>
    <w:lvl w:ilvl="2" w:tplc="0410001B" w:tentative="1">
      <w:start w:val="1"/>
      <w:numFmt w:val="lowerRoman"/>
      <w:lvlText w:val="%3."/>
      <w:lvlJc w:val="right"/>
      <w:pPr>
        <w:ind w:left="2028" w:hanging="180"/>
      </w:pPr>
    </w:lvl>
    <w:lvl w:ilvl="3" w:tplc="0410000F" w:tentative="1">
      <w:start w:val="1"/>
      <w:numFmt w:val="decimal"/>
      <w:lvlText w:val="%4."/>
      <w:lvlJc w:val="left"/>
      <w:pPr>
        <w:ind w:left="2748" w:hanging="360"/>
      </w:pPr>
    </w:lvl>
    <w:lvl w:ilvl="4" w:tplc="04100019" w:tentative="1">
      <w:start w:val="1"/>
      <w:numFmt w:val="lowerLetter"/>
      <w:lvlText w:val="%5."/>
      <w:lvlJc w:val="left"/>
      <w:pPr>
        <w:ind w:left="3468" w:hanging="360"/>
      </w:pPr>
    </w:lvl>
    <w:lvl w:ilvl="5" w:tplc="0410001B" w:tentative="1">
      <w:start w:val="1"/>
      <w:numFmt w:val="lowerRoman"/>
      <w:lvlText w:val="%6."/>
      <w:lvlJc w:val="right"/>
      <w:pPr>
        <w:ind w:left="4188" w:hanging="180"/>
      </w:pPr>
    </w:lvl>
    <w:lvl w:ilvl="6" w:tplc="0410000F" w:tentative="1">
      <w:start w:val="1"/>
      <w:numFmt w:val="decimal"/>
      <w:lvlText w:val="%7."/>
      <w:lvlJc w:val="left"/>
      <w:pPr>
        <w:ind w:left="4908" w:hanging="360"/>
      </w:pPr>
    </w:lvl>
    <w:lvl w:ilvl="7" w:tplc="04100019" w:tentative="1">
      <w:start w:val="1"/>
      <w:numFmt w:val="lowerLetter"/>
      <w:lvlText w:val="%8."/>
      <w:lvlJc w:val="left"/>
      <w:pPr>
        <w:ind w:left="5628" w:hanging="360"/>
      </w:pPr>
    </w:lvl>
    <w:lvl w:ilvl="8" w:tplc="0410001B" w:tentative="1">
      <w:start w:val="1"/>
      <w:numFmt w:val="lowerRoman"/>
      <w:lvlText w:val="%9."/>
      <w:lvlJc w:val="right"/>
      <w:pPr>
        <w:ind w:left="6348" w:hanging="180"/>
      </w:pPr>
    </w:lvl>
  </w:abstractNum>
  <w:abstractNum w:abstractNumId="14" w15:restartNumberingAfterBreak="0">
    <w:nsid w:val="3EF50C93"/>
    <w:multiLevelType w:val="hybridMultilevel"/>
    <w:tmpl w:val="5EECDFB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405D7DE8"/>
    <w:multiLevelType w:val="multilevel"/>
    <w:tmpl w:val="573CFE64"/>
    <w:lvl w:ilvl="0">
      <w:start w:val="1"/>
      <w:numFmt w:val="decimal"/>
      <w:lvlText w:val="%1."/>
      <w:lvlJc w:val="left"/>
      <w:pPr>
        <w:ind w:left="644" w:hanging="360"/>
      </w:pPr>
      <w:rPr>
        <w:rFonts w:hint="default"/>
        <w:b w:val="0"/>
        <w:color w:val="auto"/>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6" w15:restartNumberingAfterBreak="0">
    <w:nsid w:val="46281E41"/>
    <w:multiLevelType w:val="multilevel"/>
    <w:tmpl w:val="A3987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C5A15"/>
    <w:multiLevelType w:val="multilevel"/>
    <w:tmpl w:val="3CBA02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BD5650E"/>
    <w:multiLevelType w:val="hybridMultilevel"/>
    <w:tmpl w:val="573CFE64"/>
    <w:lvl w:ilvl="0" w:tplc="303245FC">
      <w:start w:val="1"/>
      <w:numFmt w:val="decimal"/>
      <w:lvlText w:val="%1."/>
      <w:lvlJc w:val="left"/>
      <w:pPr>
        <w:ind w:left="644" w:hanging="360"/>
      </w:pPr>
      <w:rPr>
        <w:rFonts w:hint="default"/>
        <w:b w:val="0"/>
        <w:color w:val="auto"/>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4BEC7368"/>
    <w:multiLevelType w:val="hybridMultilevel"/>
    <w:tmpl w:val="1AA6BF5C"/>
    <w:lvl w:ilvl="0" w:tplc="1B10822E">
      <w:start w:val="5"/>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EFC6D38"/>
    <w:multiLevelType w:val="multilevel"/>
    <w:tmpl w:val="99A0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B3458"/>
    <w:multiLevelType w:val="hybridMultilevel"/>
    <w:tmpl w:val="B2E819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81A2C11"/>
    <w:multiLevelType w:val="hybridMultilevel"/>
    <w:tmpl w:val="64A20F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84E6694"/>
    <w:multiLevelType w:val="hybridMultilevel"/>
    <w:tmpl w:val="C04A750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B1633EB"/>
    <w:multiLevelType w:val="hybridMultilevel"/>
    <w:tmpl w:val="A380F6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ED143DF"/>
    <w:multiLevelType w:val="hybridMultilevel"/>
    <w:tmpl w:val="E638B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FCF55DF"/>
    <w:multiLevelType w:val="hybridMultilevel"/>
    <w:tmpl w:val="8CDC57AE"/>
    <w:lvl w:ilvl="0" w:tplc="200E20A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D0719C"/>
    <w:multiLevelType w:val="hybridMultilevel"/>
    <w:tmpl w:val="25CC8AAA"/>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8" w15:restartNumberingAfterBreak="0">
    <w:nsid w:val="68722D66"/>
    <w:multiLevelType w:val="multilevel"/>
    <w:tmpl w:val="3B50B844"/>
    <w:lvl w:ilvl="0">
      <w:start w:val="2"/>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09421C"/>
    <w:multiLevelType w:val="hybridMultilevel"/>
    <w:tmpl w:val="AC281136"/>
    <w:lvl w:ilvl="0" w:tplc="1B10822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E825F4"/>
    <w:multiLevelType w:val="hybridMultilevel"/>
    <w:tmpl w:val="97924EBA"/>
    <w:lvl w:ilvl="0" w:tplc="4B22C39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8"/>
  </w:num>
  <w:num w:numId="2">
    <w:abstractNumId w:val="16"/>
  </w:num>
  <w:num w:numId="3">
    <w:abstractNumId w:val="6"/>
  </w:num>
  <w:num w:numId="4">
    <w:abstractNumId w:val="22"/>
  </w:num>
  <w:num w:numId="5">
    <w:abstractNumId w:val="28"/>
  </w:num>
  <w:num w:numId="6">
    <w:abstractNumId w:val="17"/>
  </w:num>
  <w:num w:numId="7">
    <w:abstractNumId w:val="23"/>
  </w:num>
  <w:num w:numId="8">
    <w:abstractNumId w:val="21"/>
  </w:num>
  <w:num w:numId="9">
    <w:abstractNumId w:val="24"/>
  </w:num>
  <w:num w:numId="10">
    <w:abstractNumId w:val="12"/>
  </w:num>
  <w:num w:numId="11">
    <w:abstractNumId w:val="2"/>
  </w:num>
  <w:num w:numId="12">
    <w:abstractNumId w:val="29"/>
  </w:num>
  <w:num w:numId="13">
    <w:abstractNumId w:val="10"/>
  </w:num>
  <w:num w:numId="14">
    <w:abstractNumId w:val="19"/>
  </w:num>
  <w:num w:numId="15">
    <w:abstractNumId w:val="26"/>
  </w:num>
  <w:num w:numId="16">
    <w:abstractNumId w:val="9"/>
  </w:num>
  <w:num w:numId="17">
    <w:abstractNumId w:val="14"/>
  </w:num>
  <w:num w:numId="18">
    <w:abstractNumId w:val="11"/>
  </w:num>
  <w:num w:numId="19">
    <w:abstractNumId w:val="18"/>
  </w:num>
  <w:num w:numId="20">
    <w:abstractNumId w:val="15"/>
  </w:num>
  <w:num w:numId="21">
    <w:abstractNumId w:val="0"/>
  </w:num>
  <w:num w:numId="22">
    <w:abstractNumId w:val="1"/>
  </w:num>
  <w:num w:numId="23">
    <w:abstractNumId w:val="4"/>
  </w:num>
  <w:num w:numId="24">
    <w:abstractNumId w:val="27"/>
  </w:num>
  <w:num w:numId="25">
    <w:abstractNumId w:val="25"/>
  </w:num>
  <w:num w:numId="26">
    <w:abstractNumId w:val="20"/>
  </w:num>
  <w:num w:numId="27">
    <w:abstractNumId w:val="7"/>
  </w:num>
  <w:num w:numId="28">
    <w:abstractNumId w:val="5"/>
  </w:num>
  <w:num w:numId="29">
    <w:abstractNumId w:val="13"/>
  </w:num>
  <w:num w:numId="30">
    <w:abstractNumId w:val="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12"/>
    <w:rsid w:val="00005D4D"/>
    <w:rsid w:val="00006B2D"/>
    <w:rsid w:val="00007A9D"/>
    <w:rsid w:val="000202E4"/>
    <w:rsid w:val="00021F1A"/>
    <w:rsid w:val="0002474F"/>
    <w:rsid w:val="00026053"/>
    <w:rsid w:val="00036531"/>
    <w:rsid w:val="00042665"/>
    <w:rsid w:val="00045997"/>
    <w:rsid w:val="000511DD"/>
    <w:rsid w:val="0005261C"/>
    <w:rsid w:val="00052B1A"/>
    <w:rsid w:val="0005325A"/>
    <w:rsid w:val="00056549"/>
    <w:rsid w:val="00057A22"/>
    <w:rsid w:val="00065524"/>
    <w:rsid w:val="00067EB8"/>
    <w:rsid w:val="00074F6B"/>
    <w:rsid w:val="00074FDF"/>
    <w:rsid w:val="000841C3"/>
    <w:rsid w:val="00086FB1"/>
    <w:rsid w:val="0009042B"/>
    <w:rsid w:val="00095359"/>
    <w:rsid w:val="00097147"/>
    <w:rsid w:val="000A0C6D"/>
    <w:rsid w:val="000A1DB0"/>
    <w:rsid w:val="000A22D3"/>
    <w:rsid w:val="000A2A52"/>
    <w:rsid w:val="000B64E5"/>
    <w:rsid w:val="000C280D"/>
    <w:rsid w:val="000C41C3"/>
    <w:rsid w:val="000C5F9A"/>
    <w:rsid w:val="000D0073"/>
    <w:rsid w:val="000D15C8"/>
    <w:rsid w:val="000D17A8"/>
    <w:rsid w:val="000D3595"/>
    <w:rsid w:val="000D6566"/>
    <w:rsid w:val="000F09BD"/>
    <w:rsid w:val="000F283B"/>
    <w:rsid w:val="00110FF4"/>
    <w:rsid w:val="001118C4"/>
    <w:rsid w:val="00111BEA"/>
    <w:rsid w:val="0012104B"/>
    <w:rsid w:val="00121F60"/>
    <w:rsid w:val="00126C0F"/>
    <w:rsid w:val="00133551"/>
    <w:rsid w:val="00134486"/>
    <w:rsid w:val="00134B0D"/>
    <w:rsid w:val="00136DC1"/>
    <w:rsid w:val="001444A4"/>
    <w:rsid w:val="001460DA"/>
    <w:rsid w:val="00146999"/>
    <w:rsid w:val="00151758"/>
    <w:rsid w:val="00163C1A"/>
    <w:rsid w:val="0016484B"/>
    <w:rsid w:val="001702A0"/>
    <w:rsid w:val="00173F1F"/>
    <w:rsid w:val="00177410"/>
    <w:rsid w:val="00180F04"/>
    <w:rsid w:val="00185ABF"/>
    <w:rsid w:val="00187F7A"/>
    <w:rsid w:val="00191934"/>
    <w:rsid w:val="001A60EA"/>
    <w:rsid w:val="001B0FFE"/>
    <w:rsid w:val="001B2B2F"/>
    <w:rsid w:val="001C4DEA"/>
    <w:rsid w:val="001C59E3"/>
    <w:rsid w:val="001C7D2C"/>
    <w:rsid w:val="00203866"/>
    <w:rsid w:val="0020587A"/>
    <w:rsid w:val="00211ECD"/>
    <w:rsid w:val="0021398B"/>
    <w:rsid w:val="002164CE"/>
    <w:rsid w:val="00222E13"/>
    <w:rsid w:val="002375C9"/>
    <w:rsid w:val="0024005C"/>
    <w:rsid w:val="002473BD"/>
    <w:rsid w:val="00247B69"/>
    <w:rsid w:val="00247E4A"/>
    <w:rsid w:val="00250A7C"/>
    <w:rsid w:val="002570CA"/>
    <w:rsid w:val="00257CF8"/>
    <w:rsid w:val="00260FD6"/>
    <w:rsid w:val="00262DC1"/>
    <w:rsid w:val="00264EBF"/>
    <w:rsid w:val="00265F1F"/>
    <w:rsid w:val="002758A7"/>
    <w:rsid w:val="00276798"/>
    <w:rsid w:val="00285433"/>
    <w:rsid w:val="00285B92"/>
    <w:rsid w:val="00290BFA"/>
    <w:rsid w:val="00296E29"/>
    <w:rsid w:val="002A000A"/>
    <w:rsid w:val="002A44D9"/>
    <w:rsid w:val="002A5746"/>
    <w:rsid w:val="002A60EC"/>
    <w:rsid w:val="002B009D"/>
    <w:rsid w:val="002B32A0"/>
    <w:rsid w:val="002C25FB"/>
    <w:rsid w:val="002C6F50"/>
    <w:rsid w:val="002D0AD1"/>
    <w:rsid w:val="002D2349"/>
    <w:rsid w:val="002D4544"/>
    <w:rsid w:val="002D6056"/>
    <w:rsid w:val="002D6506"/>
    <w:rsid w:val="002D6843"/>
    <w:rsid w:val="002E1DD2"/>
    <w:rsid w:val="002E2E7D"/>
    <w:rsid w:val="002E6CB7"/>
    <w:rsid w:val="002F0321"/>
    <w:rsid w:val="002F0BB8"/>
    <w:rsid w:val="002F1853"/>
    <w:rsid w:val="002F1CCA"/>
    <w:rsid w:val="00300CBD"/>
    <w:rsid w:val="00312A5D"/>
    <w:rsid w:val="0031352A"/>
    <w:rsid w:val="003159AD"/>
    <w:rsid w:val="00321F17"/>
    <w:rsid w:val="00326CBD"/>
    <w:rsid w:val="00327890"/>
    <w:rsid w:val="003325C8"/>
    <w:rsid w:val="00343403"/>
    <w:rsid w:val="0034635E"/>
    <w:rsid w:val="003535CD"/>
    <w:rsid w:val="00353B22"/>
    <w:rsid w:val="003629F2"/>
    <w:rsid w:val="00363DEE"/>
    <w:rsid w:val="00367B32"/>
    <w:rsid w:val="00370114"/>
    <w:rsid w:val="00374A83"/>
    <w:rsid w:val="0039185B"/>
    <w:rsid w:val="00391972"/>
    <w:rsid w:val="00393634"/>
    <w:rsid w:val="003A2F72"/>
    <w:rsid w:val="003A3E23"/>
    <w:rsid w:val="003B23B6"/>
    <w:rsid w:val="003B3100"/>
    <w:rsid w:val="003B46DA"/>
    <w:rsid w:val="003B533A"/>
    <w:rsid w:val="003C2F68"/>
    <w:rsid w:val="003C3A8D"/>
    <w:rsid w:val="003C4BD0"/>
    <w:rsid w:val="003D040E"/>
    <w:rsid w:val="003D13D8"/>
    <w:rsid w:val="003D787A"/>
    <w:rsid w:val="003D79AF"/>
    <w:rsid w:val="003E2606"/>
    <w:rsid w:val="003F2226"/>
    <w:rsid w:val="003F3473"/>
    <w:rsid w:val="003F5AF2"/>
    <w:rsid w:val="00401F90"/>
    <w:rsid w:val="00402C49"/>
    <w:rsid w:val="00407CC1"/>
    <w:rsid w:val="00411AC2"/>
    <w:rsid w:val="004145B4"/>
    <w:rsid w:val="0041555B"/>
    <w:rsid w:val="00421953"/>
    <w:rsid w:val="00421A10"/>
    <w:rsid w:val="00424873"/>
    <w:rsid w:val="0043798B"/>
    <w:rsid w:val="00441AAC"/>
    <w:rsid w:val="0044284E"/>
    <w:rsid w:val="00442D8D"/>
    <w:rsid w:val="004432C5"/>
    <w:rsid w:val="00454E3C"/>
    <w:rsid w:val="004566A7"/>
    <w:rsid w:val="0046283E"/>
    <w:rsid w:val="00465DEA"/>
    <w:rsid w:val="0047290F"/>
    <w:rsid w:val="004802F4"/>
    <w:rsid w:val="004865E3"/>
    <w:rsid w:val="00490C31"/>
    <w:rsid w:val="00493502"/>
    <w:rsid w:val="00494C0C"/>
    <w:rsid w:val="004A0706"/>
    <w:rsid w:val="004A210E"/>
    <w:rsid w:val="004A3892"/>
    <w:rsid w:val="004B6D73"/>
    <w:rsid w:val="004C2B16"/>
    <w:rsid w:val="004C31B9"/>
    <w:rsid w:val="004C4209"/>
    <w:rsid w:val="004C48EC"/>
    <w:rsid w:val="004D1B7F"/>
    <w:rsid w:val="004D1D2B"/>
    <w:rsid w:val="004D5B01"/>
    <w:rsid w:val="004E1185"/>
    <w:rsid w:val="004E237E"/>
    <w:rsid w:val="004E3271"/>
    <w:rsid w:val="004E5739"/>
    <w:rsid w:val="004F2AED"/>
    <w:rsid w:val="004F3C55"/>
    <w:rsid w:val="004F6A61"/>
    <w:rsid w:val="004F7FEF"/>
    <w:rsid w:val="00502012"/>
    <w:rsid w:val="00503CFD"/>
    <w:rsid w:val="0052052F"/>
    <w:rsid w:val="00521011"/>
    <w:rsid w:val="005219A6"/>
    <w:rsid w:val="00526548"/>
    <w:rsid w:val="0053332A"/>
    <w:rsid w:val="00535147"/>
    <w:rsid w:val="005375BD"/>
    <w:rsid w:val="005471D0"/>
    <w:rsid w:val="00547EF1"/>
    <w:rsid w:val="005544A5"/>
    <w:rsid w:val="00557961"/>
    <w:rsid w:val="005654F0"/>
    <w:rsid w:val="00570458"/>
    <w:rsid w:val="00572FD5"/>
    <w:rsid w:val="00575A7A"/>
    <w:rsid w:val="00576913"/>
    <w:rsid w:val="00577E59"/>
    <w:rsid w:val="00587C9E"/>
    <w:rsid w:val="005A023D"/>
    <w:rsid w:val="005A4BBC"/>
    <w:rsid w:val="005A5F8C"/>
    <w:rsid w:val="005B045D"/>
    <w:rsid w:val="005B101C"/>
    <w:rsid w:val="005B3E46"/>
    <w:rsid w:val="005C1075"/>
    <w:rsid w:val="005C220B"/>
    <w:rsid w:val="005D1708"/>
    <w:rsid w:val="005D4B06"/>
    <w:rsid w:val="005E1C25"/>
    <w:rsid w:val="005E2408"/>
    <w:rsid w:val="005E32B0"/>
    <w:rsid w:val="005E3C23"/>
    <w:rsid w:val="005E5E43"/>
    <w:rsid w:val="005F1E18"/>
    <w:rsid w:val="00602702"/>
    <w:rsid w:val="0061443B"/>
    <w:rsid w:val="00617E3A"/>
    <w:rsid w:val="0062389D"/>
    <w:rsid w:val="00625E8D"/>
    <w:rsid w:val="006262F8"/>
    <w:rsid w:val="00634423"/>
    <w:rsid w:val="00641627"/>
    <w:rsid w:val="00643C2F"/>
    <w:rsid w:val="00652AC4"/>
    <w:rsid w:val="00657B64"/>
    <w:rsid w:val="00662375"/>
    <w:rsid w:val="006657F7"/>
    <w:rsid w:val="006729F2"/>
    <w:rsid w:val="00672D92"/>
    <w:rsid w:val="00677D5B"/>
    <w:rsid w:val="00682D5F"/>
    <w:rsid w:val="00685D6B"/>
    <w:rsid w:val="006867A1"/>
    <w:rsid w:val="0068780A"/>
    <w:rsid w:val="00691583"/>
    <w:rsid w:val="00692EEB"/>
    <w:rsid w:val="00694976"/>
    <w:rsid w:val="00695B42"/>
    <w:rsid w:val="006A4579"/>
    <w:rsid w:val="006A7983"/>
    <w:rsid w:val="006B1D4C"/>
    <w:rsid w:val="006B295B"/>
    <w:rsid w:val="006B31A5"/>
    <w:rsid w:val="006B447C"/>
    <w:rsid w:val="006C5967"/>
    <w:rsid w:val="006D0C4C"/>
    <w:rsid w:val="006D1A61"/>
    <w:rsid w:val="006D61B0"/>
    <w:rsid w:val="006D626B"/>
    <w:rsid w:val="006D77AE"/>
    <w:rsid w:val="006E6CCA"/>
    <w:rsid w:val="006E7234"/>
    <w:rsid w:val="00702FE1"/>
    <w:rsid w:val="007055BE"/>
    <w:rsid w:val="00706C71"/>
    <w:rsid w:val="00713EA6"/>
    <w:rsid w:val="00713ED7"/>
    <w:rsid w:val="00714CCA"/>
    <w:rsid w:val="0071550D"/>
    <w:rsid w:val="00715CD8"/>
    <w:rsid w:val="007349DE"/>
    <w:rsid w:val="00743B85"/>
    <w:rsid w:val="00747E55"/>
    <w:rsid w:val="007519C3"/>
    <w:rsid w:val="007520AF"/>
    <w:rsid w:val="00760BD2"/>
    <w:rsid w:val="00770172"/>
    <w:rsid w:val="007749D6"/>
    <w:rsid w:val="0078005A"/>
    <w:rsid w:val="007852E6"/>
    <w:rsid w:val="00786D88"/>
    <w:rsid w:val="00787C23"/>
    <w:rsid w:val="007940F3"/>
    <w:rsid w:val="007A02C8"/>
    <w:rsid w:val="007A1F8A"/>
    <w:rsid w:val="007A2282"/>
    <w:rsid w:val="007A34CA"/>
    <w:rsid w:val="007A5E68"/>
    <w:rsid w:val="007B12DE"/>
    <w:rsid w:val="007B41F4"/>
    <w:rsid w:val="007B5F58"/>
    <w:rsid w:val="007C7477"/>
    <w:rsid w:val="007D0C7C"/>
    <w:rsid w:val="007D31A6"/>
    <w:rsid w:val="007D3C86"/>
    <w:rsid w:val="007E1364"/>
    <w:rsid w:val="007F1D94"/>
    <w:rsid w:val="007F2201"/>
    <w:rsid w:val="007F2BA1"/>
    <w:rsid w:val="007F59F9"/>
    <w:rsid w:val="007F7CC6"/>
    <w:rsid w:val="008028B3"/>
    <w:rsid w:val="0080303D"/>
    <w:rsid w:val="00806EF3"/>
    <w:rsid w:val="0081302F"/>
    <w:rsid w:val="00816B7F"/>
    <w:rsid w:val="00826DA5"/>
    <w:rsid w:val="00827B65"/>
    <w:rsid w:val="00830A88"/>
    <w:rsid w:val="00851ED8"/>
    <w:rsid w:val="00854B85"/>
    <w:rsid w:val="0086020B"/>
    <w:rsid w:val="0086067E"/>
    <w:rsid w:val="00861A9E"/>
    <w:rsid w:val="00864711"/>
    <w:rsid w:val="00873522"/>
    <w:rsid w:val="00874683"/>
    <w:rsid w:val="00875503"/>
    <w:rsid w:val="00876CFE"/>
    <w:rsid w:val="00880041"/>
    <w:rsid w:val="00885721"/>
    <w:rsid w:val="00885908"/>
    <w:rsid w:val="00890FF9"/>
    <w:rsid w:val="008924E4"/>
    <w:rsid w:val="00895598"/>
    <w:rsid w:val="00897250"/>
    <w:rsid w:val="00897E15"/>
    <w:rsid w:val="008A1C9B"/>
    <w:rsid w:val="008A2E9A"/>
    <w:rsid w:val="008A3EDA"/>
    <w:rsid w:val="008A47E9"/>
    <w:rsid w:val="008A5C7E"/>
    <w:rsid w:val="008B3C78"/>
    <w:rsid w:val="008B766B"/>
    <w:rsid w:val="008C6B94"/>
    <w:rsid w:val="008D0242"/>
    <w:rsid w:val="008D04E0"/>
    <w:rsid w:val="008D2380"/>
    <w:rsid w:val="008E04E4"/>
    <w:rsid w:val="008E28F6"/>
    <w:rsid w:val="008E5759"/>
    <w:rsid w:val="008E716A"/>
    <w:rsid w:val="008E7E37"/>
    <w:rsid w:val="008F2983"/>
    <w:rsid w:val="008F30D5"/>
    <w:rsid w:val="00904FF8"/>
    <w:rsid w:val="00907747"/>
    <w:rsid w:val="009142DE"/>
    <w:rsid w:val="00916FAA"/>
    <w:rsid w:val="00917DFA"/>
    <w:rsid w:val="00923364"/>
    <w:rsid w:val="00926CB1"/>
    <w:rsid w:val="00934955"/>
    <w:rsid w:val="00935B3D"/>
    <w:rsid w:val="009360C7"/>
    <w:rsid w:val="0095530C"/>
    <w:rsid w:val="00964034"/>
    <w:rsid w:val="009645DB"/>
    <w:rsid w:val="009669D6"/>
    <w:rsid w:val="0097017A"/>
    <w:rsid w:val="009710E6"/>
    <w:rsid w:val="0097257A"/>
    <w:rsid w:val="00973CB1"/>
    <w:rsid w:val="00973FE2"/>
    <w:rsid w:val="00975DA1"/>
    <w:rsid w:val="00975DC9"/>
    <w:rsid w:val="009807C2"/>
    <w:rsid w:val="00980CE8"/>
    <w:rsid w:val="009A338A"/>
    <w:rsid w:val="009A3C3C"/>
    <w:rsid w:val="009A78D9"/>
    <w:rsid w:val="009A79B4"/>
    <w:rsid w:val="009B01E4"/>
    <w:rsid w:val="009B2E4A"/>
    <w:rsid w:val="009B6B5F"/>
    <w:rsid w:val="009B7F7C"/>
    <w:rsid w:val="009D0044"/>
    <w:rsid w:val="009D2413"/>
    <w:rsid w:val="009E1401"/>
    <w:rsid w:val="009E1839"/>
    <w:rsid w:val="009E3DB9"/>
    <w:rsid w:val="009E3F8A"/>
    <w:rsid w:val="009F098B"/>
    <w:rsid w:val="009F2599"/>
    <w:rsid w:val="009F2685"/>
    <w:rsid w:val="009F5E61"/>
    <w:rsid w:val="00A0289D"/>
    <w:rsid w:val="00A02D78"/>
    <w:rsid w:val="00A03198"/>
    <w:rsid w:val="00A04DCF"/>
    <w:rsid w:val="00A22A6F"/>
    <w:rsid w:val="00A25013"/>
    <w:rsid w:val="00A30B96"/>
    <w:rsid w:val="00A329CB"/>
    <w:rsid w:val="00A33B29"/>
    <w:rsid w:val="00A40651"/>
    <w:rsid w:val="00A448CB"/>
    <w:rsid w:val="00A44F7B"/>
    <w:rsid w:val="00A4633D"/>
    <w:rsid w:val="00A53C88"/>
    <w:rsid w:val="00A55BF3"/>
    <w:rsid w:val="00A606E2"/>
    <w:rsid w:val="00A62CD0"/>
    <w:rsid w:val="00A639A0"/>
    <w:rsid w:val="00A6510A"/>
    <w:rsid w:val="00A844DD"/>
    <w:rsid w:val="00A87423"/>
    <w:rsid w:val="00A87516"/>
    <w:rsid w:val="00A94424"/>
    <w:rsid w:val="00AA39C5"/>
    <w:rsid w:val="00AB751C"/>
    <w:rsid w:val="00AC0290"/>
    <w:rsid w:val="00AC0EFD"/>
    <w:rsid w:val="00AC2AFB"/>
    <w:rsid w:val="00AC488A"/>
    <w:rsid w:val="00AC787C"/>
    <w:rsid w:val="00AD2CE5"/>
    <w:rsid w:val="00AD4C71"/>
    <w:rsid w:val="00AD79E8"/>
    <w:rsid w:val="00AE18B7"/>
    <w:rsid w:val="00AF7778"/>
    <w:rsid w:val="00B14A84"/>
    <w:rsid w:val="00B168DA"/>
    <w:rsid w:val="00B20CB4"/>
    <w:rsid w:val="00B21F8F"/>
    <w:rsid w:val="00B326DD"/>
    <w:rsid w:val="00B32BE7"/>
    <w:rsid w:val="00B35BA7"/>
    <w:rsid w:val="00B40012"/>
    <w:rsid w:val="00B44939"/>
    <w:rsid w:val="00B46687"/>
    <w:rsid w:val="00B52EF0"/>
    <w:rsid w:val="00B56AF6"/>
    <w:rsid w:val="00B603AC"/>
    <w:rsid w:val="00B61ACF"/>
    <w:rsid w:val="00B645A7"/>
    <w:rsid w:val="00B66690"/>
    <w:rsid w:val="00B7641B"/>
    <w:rsid w:val="00B94E25"/>
    <w:rsid w:val="00BA029A"/>
    <w:rsid w:val="00BB6454"/>
    <w:rsid w:val="00BB7259"/>
    <w:rsid w:val="00BB72A9"/>
    <w:rsid w:val="00BC141B"/>
    <w:rsid w:val="00BC7778"/>
    <w:rsid w:val="00BD04E8"/>
    <w:rsid w:val="00BD48FE"/>
    <w:rsid w:val="00BD7217"/>
    <w:rsid w:val="00BE0AD3"/>
    <w:rsid w:val="00BE1E68"/>
    <w:rsid w:val="00BE3639"/>
    <w:rsid w:val="00BE4B43"/>
    <w:rsid w:val="00BE6C7A"/>
    <w:rsid w:val="00BE7369"/>
    <w:rsid w:val="00BF1F12"/>
    <w:rsid w:val="00BF378E"/>
    <w:rsid w:val="00C11659"/>
    <w:rsid w:val="00C12551"/>
    <w:rsid w:val="00C17318"/>
    <w:rsid w:val="00C201A0"/>
    <w:rsid w:val="00C2155D"/>
    <w:rsid w:val="00C27EFD"/>
    <w:rsid w:val="00C32AAA"/>
    <w:rsid w:val="00C542E7"/>
    <w:rsid w:val="00C6340D"/>
    <w:rsid w:val="00C64024"/>
    <w:rsid w:val="00C65D36"/>
    <w:rsid w:val="00C660B8"/>
    <w:rsid w:val="00C6693A"/>
    <w:rsid w:val="00C676F9"/>
    <w:rsid w:val="00C80F93"/>
    <w:rsid w:val="00C8131D"/>
    <w:rsid w:val="00C84540"/>
    <w:rsid w:val="00C8511E"/>
    <w:rsid w:val="00C87E91"/>
    <w:rsid w:val="00C9493E"/>
    <w:rsid w:val="00C94F30"/>
    <w:rsid w:val="00C9593D"/>
    <w:rsid w:val="00CA1AD7"/>
    <w:rsid w:val="00CA227B"/>
    <w:rsid w:val="00CA77DD"/>
    <w:rsid w:val="00CB12D3"/>
    <w:rsid w:val="00CB1F4B"/>
    <w:rsid w:val="00CB26CE"/>
    <w:rsid w:val="00CB3050"/>
    <w:rsid w:val="00CB5585"/>
    <w:rsid w:val="00CB7F0C"/>
    <w:rsid w:val="00CC1B57"/>
    <w:rsid w:val="00CC5CD0"/>
    <w:rsid w:val="00CC74B4"/>
    <w:rsid w:val="00CD025D"/>
    <w:rsid w:val="00CD126D"/>
    <w:rsid w:val="00CD741E"/>
    <w:rsid w:val="00CE1C10"/>
    <w:rsid w:val="00CE2F97"/>
    <w:rsid w:val="00CE6BE3"/>
    <w:rsid w:val="00CF1AE5"/>
    <w:rsid w:val="00CF1C25"/>
    <w:rsid w:val="00CF28D3"/>
    <w:rsid w:val="00CF3F59"/>
    <w:rsid w:val="00CF7408"/>
    <w:rsid w:val="00D01AB6"/>
    <w:rsid w:val="00D16085"/>
    <w:rsid w:val="00D23495"/>
    <w:rsid w:val="00D262D0"/>
    <w:rsid w:val="00D27252"/>
    <w:rsid w:val="00D32889"/>
    <w:rsid w:val="00D33BF5"/>
    <w:rsid w:val="00D37266"/>
    <w:rsid w:val="00D37676"/>
    <w:rsid w:val="00D41228"/>
    <w:rsid w:val="00D4791B"/>
    <w:rsid w:val="00D50F7B"/>
    <w:rsid w:val="00D5270F"/>
    <w:rsid w:val="00D55EBF"/>
    <w:rsid w:val="00D60B2B"/>
    <w:rsid w:val="00D778F4"/>
    <w:rsid w:val="00D834EA"/>
    <w:rsid w:val="00D8654F"/>
    <w:rsid w:val="00D86B3E"/>
    <w:rsid w:val="00D87F07"/>
    <w:rsid w:val="00DA620A"/>
    <w:rsid w:val="00DA6691"/>
    <w:rsid w:val="00DA6955"/>
    <w:rsid w:val="00DB41E4"/>
    <w:rsid w:val="00DC01D1"/>
    <w:rsid w:val="00DC16AE"/>
    <w:rsid w:val="00DC369E"/>
    <w:rsid w:val="00DC47F8"/>
    <w:rsid w:val="00DC6641"/>
    <w:rsid w:val="00DD5518"/>
    <w:rsid w:val="00DD6878"/>
    <w:rsid w:val="00DD7299"/>
    <w:rsid w:val="00DE1873"/>
    <w:rsid w:val="00DE566F"/>
    <w:rsid w:val="00DF0E3C"/>
    <w:rsid w:val="00DF18A6"/>
    <w:rsid w:val="00DF3966"/>
    <w:rsid w:val="00E0273F"/>
    <w:rsid w:val="00E03795"/>
    <w:rsid w:val="00E06CA8"/>
    <w:rsid w:val="00E1610C"/>
    <w:rsid w:val="00E20488"/>
    <w:rsid w:val="00E22B3A"/>
    <w:rsid w:val="00E25D37"/>
    <w:rsid w:val="00E268EC"/>
    <w:rsid w:val="00E30951"/>
    <w:rsid w:val="00E462C1"/>
    <w:rsid w:val="00E47340"/>
    <w:rsid w:val="00E47BF5"/>
    <w:rsid w:val="00E516FD"/>
    <w:rsid w:val="00E52BC5"/>
    <w:rsid w:val="00E5314E"/>
    <w:rsid w:val="00E546F9"/>
    <w:rsid w:val="00E5479C"/>
    <w:rsid w:val="00E55C36"/>
    <w:rsid w:val="00E57FF3"/>
    <w:rsid w:val="00E60B67"/>
    <w:rsid w:val="00E670D2"/>
    <w:rsid w:val="00E67B99"/>
    <w:rsid w:val="00E7146B"/>
    <w:rsid w:val="00E71CE4"/>
    <w:rsid w:val="00E74EC8"/>
    <w:rsid w:val="00E750D3"/>
    <w:rsid w:val="00E779EC"/>
    <w:rsid w:val="00E8347F"/>
    <w:rsid w:val="00E83604"/>
    <w:rsid w:val="00E95494"/>
    <w:rsid w:val="00E96917"/>
    <w:rsid w:val="00E9713E"/>
    <w:rsid w:val="00EA3245"/>
    <w:rsid w:val="00EA7D4E"/>
    <w:rsid w:val="00EB019C"/>
    <w:rsid w:val="00EB3D29"/>
    <w:rsid w:val="00EB50B6"/>
    <w:rsid w:val="00EB789C"/>
    <w:rsid w:val="00EC28D8"/>
    <w:rsid w:val="00EC6544"/>
    <w:rsid w:val="00ED10AD"/>
    <w:rsid w:val="00ED23EF"/>
    <w:rsid w:val="00ED2826"/>
    <w:rsid w:val="00ED3184"/>
    <w:rsid w:val="00ED3277"/>
    <w:rsid w:val="00ED44C0"/>
    <w:rsid w:val="00EE0F5C"/>
    <w:rsid w:val="00EE1BE5"/>
    <w:rsid w:val="00EE4316"/>
    <w:rsid w:val="00EF5572"/>
    <w:rsid w:val="00F02147"/>
    <w:rsid w:val="00F026BD"/>
    <w:rsid w:val="00F038C2"/>
    <w:rsid w:val="00F11ECB"/>
    <w:rsid w:val="00F12263"/>
    <w:rsid w:val="00F130A0"/>
    <w:rsid w:val="00F16238"/>
    <w:rsid w:val="00F17CE0"/>
    <w:rsid w:val="00F26C53"/>
    <w:rsid w:val="00F3753F"/>
    <w:rsid w:val="00F5364B"/>
    <w:rsid w:val="00F53EAE"/>
    <w:rsid w:val="00F57582"/>
    <w:rsid w:val="00F60065"/>
    <w:rsid w:val="00F76143"/>
    <w:rsid w:val="00F77D31"/>
    <w:rsid w:val="00F90C65"/>
    <w:rsid w:val="00F92666"/>
    <w:rsid w:val="00F9527D"/>
    <w:rsid w:val="00FA46CE"/>
    <w:rsid w:val="00FB3143"/>
    <w:rsid w:val="00FB3C2A"/>
    <w:rsid w:val="00FB5706"/>
    <w:rsid w:val="00FB75CC"/>
    <w:rsid w:val="00FC6E60"/>
    <w:rsid w:val="00FD03DB"/>
    <w:rsid w:val="00FD2E35"/>
    <w:rsid w:val="00FD4C0D"/>
    <w:rsid w:val="00FD55AE"/>
    <w:rsid w:val="00FD5A26"/>
    <w:rsid w:val="00FD6DCC"/>
    <w:rsid w:val="00FE0086"/>
    <w:rsid w:val="00FE00A1"/>
    <w:rsid w:val="00FE106B"/>
    <w:rsid w:val="00FE2363"/>
    <w:rsid w:val="00FE3BBE"/>
    <w:rsid w:val="00FE5540"/>
    <w:rsid w:val="00FE6DD0"/>
    <w:rsid w:val="00FF4822"/>
    <w:rsid w:val="00FF679D"/>
    <w:rsid w:val="00FF6DF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5D507"/>
  <w15:docId w15:val="{706D3CDA-654E-4627-819C-F6631069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3C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639A0"/>
    <w:pPr>
      <w:ind w:left="720"/>
      <w:contextualSpacing/>
    </w:pPr>
  </w:style>
  <w:style w:type="paragraph" w:styleId="NormaleWeb">
    <w:name w:val="Normal (Web)"/>
    <w:basedOn w:val="Normale"/>
    <w:uiPriority w:val="99"/>
    <w:unhideWhenUsed/>
    <w:rsid w:val="006A79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95598"/>
    <w:rPr>
      <w:b/>
      <w:bCs/>
    </w:rPr>
  </w:style>
  <w:style w:type="character" w:customStyle="1" w:styleId="apple-converted-space">
    <w:name w:val="apple-converted-space"/>
    <w:basedOn w:val="Carpredefinitoparagrafo"/>
    <w:rsid w:val="00895598"/>
  </w:style>
  <w:style w:type="character" w:styleId="Collegamentoipertestuale">
    <w:name w:val="Hyperlink"/>
    <w:basedOn w:val="Carpredefinitoparagrafo"/>
    <w:uiPriority w:val="99"/>
    <w:unhideWhenUsed/>
    <w:rsid w:val="005B3E46"/>
    <w:rPr>
      <w:color w:val="0000FF"/>
      <w:u w:val="single"/>
    </w:rPr>
  </w:style>
  <w:style w:type="paragraph" w:styleId="Testofumetto">
    <w:name w:val="Balloon Text"/>
    <w:basedOn w:val="Normale"/>
    <w:link w:val="TestofumettoCarattere"/>
    <w:uiPriority w:val="99"/>
    <w:semiHidden/>
    <w:unhideWhenUsed/>
    <w:rsid w:val="00FB3C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3C2A"/>
    <w:rPr>
      <w:rFonts w:ascii="Tahoma" w:hAnsi="Tahoma" w:cs="Tahoma"/>
      <w:sz w:val="16"/>
      <w:szCs w:val="16"/>
    </w:rPr>
  </w:style>
  <w:style w:type="table" w:styleId="Grigliatabella">
    <w:name w:val="Table Grid"/>
    <w:basedOn w:val="Tabellanormale"/>
    <w:uiPriority w:val="59"/>
    <w:rsid w:val="005E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62389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62389D"/>
    <w:rPr>
      <w:sz w:val="20"/>
      <w:szCs w:val="20"/>
    </w:rPr>
  </w:style>
  <w:style w:type="character" w:styleId="Rimandonotaapidipagina">
    <w:name w:val="footnote reference"/>
    <w:basedOn w:val="Carpredefinitoparagrafo"/>
    <w:uiPriority w:val="99"/>
    <w:unhideWhenUsed/>
    <w:rsid w:val="0062389D"/>
    <w:rPr>
      <w:vertAlign w:val="superscript"/>
    </w:rPr>
  </w:style>
  <w:style w:type="paragraph" w:styleId="Testocommento">
    <w:name w:val="annotation text"/>
    <w:basedOn w:val="Normale"/>
    <w:link w:val="TestocommentoCarattere"/>
    <w:uiPriority w:val="99"/>
    <w:semiHidden/>
    <w:unhideWhenUsed/>
    <w:rsid w:val="0002605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26053"/>
    <w:rPr>
      <w:sz w:val="20"/>
      <w:szCs w:val="20"/>
    </w:rPr>
  </w:style>
  <w:style w:type="character" w:styleId="Rimandocommento">
    <w:name w:val="annotation reference"/>
    <w:basedOn w:val="Carpredefinitoparagrafo"/>
    <w:uiPriority w:val="99"/>
    <w:semiHidden/>
    <w:unhideWhenUsed/>
    <w:rsid w:val="00026053"/>
    <w:rPr>
      <w:sz w:val="18"/>
      <w:szCs w:val="18"/>
    </w:rPr>
  </w:style>
  <w:style w:type="character" w:styleId="Collegamentovisitato">
    <w:name w:val="FollowedHyperlink"/>
    <w:basedOn w:val="Carpredefinitoparagrafo"/>
    <w:uiPriority w:val="99"/>
    <w:semiHidden/>
    <w:unhideWhenUsed/>
    <w:rsid w:val="00421A10"/>
    <w:rPr>
      <w:color w:val="800080" w:themeColor="followedHyperlink"/>
      <w:u w:val="single"/>
    </w:rPr>
  </w:style>
  <w:style w:type="character" w:customStyle="1" w:styleId="tocnumber">
    <w:name w:val="tocnumber"/>
    <w:basedOn w:val="Carpredefinitoparagrafo"/>
    <w:rsid w:val="00AC0EFD"/>
  </w:style>
  <w:style w:type="character" w:customStyle="1" w:styleId="toctext">
    <w:name w:val="toctext"/>
    <w:basedOn w:val="Carpredefinitoparagrafo"/>
    <w:rsid w:val="00AC0EFD"/>
  </w:style>
  <w:style w:type="paragraph" w:customStyle="1" w:styleId="xmsonormal">
    <w:name w:val="x_msonormal"/>
    <w:basedOn w:val="Normale"/>
    <w:rsid w:val="00097147"/>
    <w:pPr>
      <w:spacing w:after="0"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932">
      <w:bodyDiv w:val="1"/>
      <w:marLeft w:val="0"/>
      <w:marRight w:val="0"/>
      <w:marTop w:val="0"/>
      <w:marBottom w:val="0"/>
      <w:divBdr>
        <w:top w:val="none" w:sz="0" w:space="0" w:color="auto"/>
        <w:left w:val="none" w:sz="0" w:space="0" w:color="auto"/>
        <w:bottom w:val="none" w:sz="0" w:space="0" w:color="auto"/>
        <w:right w:val="none" w:sz="0" w:space="0" w:color="auto"/>
      </w:divBdr>
    </w:div>
    <w:div w:id="95753257">
      <w:bodyDiv w:val="1"/>
      <w:marLeft w:val="0"/>
      <w:marRight w:val="0"/>
      <w:marTop w:val="0"/>
      <w:marBottom w:val="0"/>
      <w:divBdr>
        <w:top w:val="none" w:sz="0" w:space="0" w:color="auto"/>
        <w:left w:val="none" w:sz="0" w:space="0" w:color="auto"/>
        <w:bottom w:val="none" w:sz="0" w:space="0" w:color="auto"/>
        <w:right w:val="none" w:sz="0" w:space="0" w:color="auto"/>
      </w:divBdr>
    </w:div>
    <w:div w:id="111487566">
      <w:bodyDiv w:val="1"/>
      <w:marLeft w:val="0"/>
      <w:marRight w:val="0"/>
      <w:marTop w:val="0"/>
      <w:marBottom w:val="0"/>
      <w:divBdr>
        <w:top w:val="none" w:sz="0" w:space="0" w:color="auto"/>
        <w:left w:val="none" w:sz="0" w:space="0" w:color="auto"/>
        <w:bottom w:val="none" w:sz="0" w:space="0" w:color="auto"/>
        <w:right w:val="none" w:sz="0" w:space="0" w:color="auto"/>
      </w:divBdr>
    </w:div>
    <w:div w:id="367142131">
      <w:bodyDiv w:val="1"/>
      <w:marLeft w:val="0"/>
      <w:marRight w:val="0"/>
      <w:marTop w:val="0"/>
      <w:marBottom w:val="0"/>
      <w:divBdr>
        <w:top w:val="none" w:sz="0" w:space="0" w:color="auto"/>
        <w:left w:val="none" w:sz="0" w:space="0" w:color="auto"/>
        <w:bottom w:val="none" w:sz="0" w:space="0" w:color="auto"/>
        <w:right w:val="none" w:sz="0" w:space="0" w:color="auto"/>
      </w:divBdr>
    </w:div>
    <w:div w:id="453330295">
      <w:bodyDiv w:val="1"/>
      <w:marLeft w:val="0"/>
      <w:marRight w:val="0"/>
      <w:marTop w:val="0"/>
      <w:marBottom w:val="0"/>
      <w:divBdr>
        <w:top w:val="none" w:sz="0" w:space="0" w:color="auto"/>
        <w:left w:val="none" w:sz="0" w:space="0" w:color="auto"/>
        <w:bottom w:val="none" w:sz="0" w:space="0" w:color="auto"/>
        <w:right w:val="none" w:sz="0" w:space="0" w:color="auto"/>
      </w:divBdr>
    </w:div>
    <w:div w:id="515847463">
      <w:bodyDiv w:val="1"/>
      <w:marLeft w:val="0"/>
      <w:marRight w:val="0"/>
      <w:marTop w:val="0"/>
      <w:marBottom w:val="0"/>
      <w:divBdr>
        <w:top w:val="none" w:sz="0" w:space="0" w:color="auto"/>
        <w:left w:val="none" w:sz="0" w:space="0" w:color="auto"/>
        <w:bottom w:val="none" w:sz="0" w:space="0" w:color="auto"/>
        <w:right w:val="none" w:sz="0" w:space="0" w:color="auto"/>
      </w:divBdr>
    </w:div>
    <w:div w:id="580990158">
      <w:bodyDiv w:val="1"/>
      <w:marLeft w:val="0"/>
      <w:marRight w:val="0"/>
      <w:marTop w:val="0"/>
      <w:marBottom w:val="0"/>
      <w:divBdr>
        <w:top w:val="none" w:sz="0" w:space="0" w:color="auto"/>
        <w:left w:val="none" w:sz="0" w:space="0" w:color="auto"/>
        <w:bottom w:val="none" w:sz="0" w:space="0" w:color="auto"/>
        <w:right w:val="none" w:sz="0" w:space="0" w:color="auto"/>
      </w:divBdr>
    </w:div>
    <w:div w:id="818812832">
      <w:bodyDiv w:val="1"/>
      <w:marLeft w:val="0"/>
      <w:marRight w:val="0"/>
      <w:marTop w:val="0"/>
      <w:marBottom w:val="0"/>
      <w:divBdr>
        <w:top w:val="none" w:sz="0" w:space="0" w:color="auto"/>
        <w:left w:val="none" w:sz="0" w:space="0" w:color="auto"/>
        <w:bottom w:val="none" w:sz="0" w:space="0" w:color="auto"/>
        <w:right w:val="none" w:sz="0" w:space="0" w:color="auto"/>
      </w:divBdr>
    </w:div>
    <w:div w:id="985360266">
      <w:bodyDiv w:val="1"/>
      <w:marLeft w:val="0"/>
      <w:marRight w:val="0"/>
      <w:marTop w:val="0"/>
      <w:marBottom w:val="0"/>
      <w:divBdr>
        <w:top w:val="none" w:sz="0" w:space="0" w:color="auto"/>
        <w:left w:val="none" w:sz="0" w:space="0" w:color="auto"/>
        <w:bottom w:val="none" w:sz="0" w:space="0" w:color="auto"/>
        <w:right w:val="none" w:sz="0" w:space="0" w:color="auto"/>
      </w:divBdr>
    </w:div>
    <w:div w:id="1028533305">
      <w:bodyDiv w:val="1"/>
      <w:marLeft w:val="0"/>
      <w:marRight w:val="0"/>
      <w:marTop w:val="0"/>
      <w:marBottom w:val="0"/>
      <w:divBdr>
        <w:top w:val="none" w:sz="0" w:space="0" w:color="auto"/>
        <w:left w:val="none" w:sz="0" w:space="0" w:color="auto"/>
        <w:bottom w:val="none" w:sz="0" w:space="0" w:color="auto"/>
        <w:right w:val="none" w:sz="0" w:space="0" w:color="auto"/>
      </w:divBdr>
    </w:div>
    <w:div w:id="1128740020">
      <w:bodyDiv w:val="1"/>
      <w:marLeft w:val="0"/>
      <w:marRight w:val="0"/>
      <w:marTop w:val="0"/>
      <w:marBottom w:val="0"/>
      <w:divBdr>
        <w:top w:val="none" w:sz="0" w:space="0" w:color="auto"/>
        <w:left w:val="none" w:sz="0" w:space="0" w:color="auto"/>
        <w:bottom w:val="none" w:sz="0" w:space="0" w:color="auto"/>
        <w:right w:val="none" w:sz="0" w:space="0" w:color="auto"/>
      </w:divBdr>
    </w:div>
    <w:div w:id="1353803059">
      <w:bodyDiv w:val="1"/>
      <w:marLeft w:val="0"/>
      <w:marRight w:val="0"/>
      <w:marTop w:val="0"/>
      <w:marBottom w:val="0"/>
      <w:divBdr>
        <w:top w:val="none" w:sz="0" w:space="0" w:color="auto"/>
        <w:left w:val="none" w:sz="0" w:space="0" w:color="auto"/>
        <w:bottom w:val="none" w:sz="0" w:space="0" w:color="auto"/>
        <w:right w:val="none" w:sz="0" w:space="0" w:color="auto"/>
      </w:divBdr>
    </w:div>
    <w:div w:id="1498425865">
      <w:bodyDiv w:val="1"/>
      <w:marLeft w:val="0"/>
      <w:marRight w:val="0"/>
      <w:marTop w:val="0"/>
      <w:marBottom w:val="0"/>
      <w:divBdr>
        <w:top w:val="none" w:sz="0" w:space="0" w:color="auto"/>
        <w:left w:val="none" w:sz="0" w:space="0" w:color="auto"/>
        <w:bottom w:val="none" w:sz="0" w:space="0" w:color="auto"/>
        <w:right w:val="none" w:sz="0" w:space="0" w:color="auto"/>
      </w:divBdr>
    </w:div>
    <w:div w:id="1540581162">
      <w:bodyDiv w:val="1"/>
      <w:marLeft w:val="0"/>
      <w:marRight w:val="0"/>
      <w:marTop w:val="0"/>
      <w:marBottom w:val="0"/>
      <w:divBdr>
        <w:top w:val="none" w:sz="0" w:space="0" w:color="auto"/>
        <w:left w:val="none" w:sz="0" w:space="0" w:color="auto"/>
        <w:bottom w:val="none" w:sz="0" w:space="0" w:color="auto"/>
        <w:right w:val="none" w:sz="0" w:space="0" w:color="auto"/>
      </w:divBdr>
    </w:div>
    <w:div w:id="1541894141">
      <w:bodyDiv w:val="1"/>
      <w:marLeft w:val="0"/>
      <w:marRight w:val="0"/>
      <w:marTop w:val="0"/>
      <w:marBottom w:val="0"/>
      <w:divBdr>
        <w:top w:val="none" w:sz="0" w:space="0" w:color="auto"/>
        <w:left w:val="none" w:sz="0" w:space="0" w:color="auto"/>
        <w:bottom w:val="none" w:sz="0" w:space="0" w:color="auto"/>
        <w:right w:val="none" w:sz="0" w:space="0" w:color="auto"/>
      </w:divBdr>
    </w:div>
    <w:div w:id="1555041450">
      <w:bodyDiv w:val="1"/>
      <w:marLeft w:val="0"/>
      <w:marRight w:val="0"/>
      <w:marTop w:val="0"/>
      <w:marBottom w:val="0"/>
      <w:divBdr>
        <w:top w:val="none" w:sz="0" w:space="0" w:color="auto"/>
        <w:left w:val="none" w:sz="0" w:space="0" w:color="auto"/>
        <w:bottom w:val="none" w:sz="0" w:space="0" w:color="auto"/>
        <w:right w:val="none" w:sz="0" w:space="0" w:color="auto"/>
      </w:divBdr>
    </w:div>
    <w:div w:id="1725830774">
      <w:bodyDiv w:val="1"/>
      <w:marLeft w:val="0"/>
      <w:marRight w:val="0"/>
      <w:marTop w:val="0"/>
      <w:marBottom w:val="0"/>
      <w:divBdr>
        <w:top w:val="none" w:sz="0" w:space="0" w:color="auto"/>
        <w:left w:val="none" w:sz="0" w:space="0" w:color="auto"/>
        <w:bottom w:val="none" w:sz="0" w:space="0" w:color="auto"/>
        <w:right w:val="none" w:sz="0" w:space="0" w:color="auto"/>
      </w:divBdr>
    </w:div>
    <w:div w:id="1752655991">
      <w:bodyDiv w:val="1"/>
      <w:marLeft w:val="0"/>
      <w:marRight w:val="0"/>
      <w:marTop w:val="0"/>
      <w:marBottom w:val="0"/>
      <w:divBdr>
        <w:top w:val="none" w:sz="0" w:space="0" w:color="auto"/>
        <w:left w:val="none" w:sz="0" w:space="0" w:color="auto"/>
        <w:bottom w:val="none" w:sz="0" w:space="0" w:color="auto"/>
        <w:right w:val="none" w:sz="0" w:space="0" w:color="auto"/>
      </w:divBdr>
    </w:div>
    <w:div w:id="2016568656">
      <w:bodyDiv w:val="1"/>
      <w:marLeft w:val="0"/>
      <w:marRight w:val="0"/>
      <w:marTop w:val="0"/>
      <w:marBottom w:val="0"/>
      <w:divBdr>
        <w:top w:val="none" w:sz="0" w:space="0" w:color="auto"/>
        <w:left w:val="none" w:sz="0" w:space="0" w:color="auto"/>
        <w:bottom w:val="none" w:sz="0" w:space="0" w:color="auto"/>
        <w:right w:val="none" w:sz="0" w:space="0" w:color="auto"/>
      </w:divBdr>
    </w:div>
    <w:div w:id="2087073661">
      <w:bodyDiv w:val="1"/>
      <w:marLeft w:val="0"/>
      <w:marRight w:val="0"/>
      <w:marTop w:val="0"/>
      <w:marBottom w:val="0"/>
      <w:divBdr>
        <w:top w:val="none" w:sz="0" w:space="0" w:color="auto"/>
        <w:left w:val="none" w:sz="0" w:space="0" w:color="auto"/>
        <w:bottom w:val="none" w:sz="0" w:space="0" w:color="auto"/>
        <w:right w:val="none" w:sz="0" w:space="0" w:color="auto"/>
      </w:divBdr>
    </w:div>
    <w:div w:id="208830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ta.michetti@unimc.it" TargetMode="External"/><Relationship Id="rId13" Type="http://schemas.openxmlformats.org/officeDocument/2006/relationships/hyperlink" Target="https://www.crui.it/riviste-ad-accesso-aperto-linee-guida.html"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crui.it/oa.htm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ui.it/oa.htm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roarmap.eprints.org/" TargetMode="External"/><Relationship Id="rId14" Type="http://schemas.openxmlformats.org/officeDocument/2006/relationships/hyperlink" Target="https://www.crui.it/linee-guida-per-la-redazione-di-policy.html"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CAD89-FB22-4D3C-9360-F0026BD9A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19</Pages>
  <Words>7912</Words>
  <Characters>45105</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elisabetta.michetti</dc:creator>
  <cp:lastModifiedBy>Elisabetta</cp:lastModifiedBy>
  <cp:revision>91</cp:revision>
  <cp:lastPrinted>2018-02-22T12:00:00Z</cp:lastPrinted>
  <dcterms:created xsi:type="dcterms:W3CDTF">2018-03-27T13:43:00Z</dcterms:created>
  <dcterms:modified xsi:type="dcterms:W3CDTF">2018-04-03T10:02:00Z</dcterms:modified>
</cp:coreProperties>
</file>