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56" w:rsidRPr="00EC53E0" w:rsidRDefault="00002F56" w:rsidP="00002F56">
      <w:pPr>
        <w:spacing w:line="36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proofErr w:type="spellStart"/>
      <w:r w:rsidRPr="00993123">
        <w:rPr>
          <w:rFonts w:ascii="Times New Roman" w:hAnsi="Times New Roman"/>
          <w:b/>
          <w:sz w:val="24"/>
          <w:szCs w:val="24"/>
        </w:rPr>
        <w:t>Concept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3123">
        <w:rPr>
          <w:rFonts w:ascii="Times New Roman" w:hAnsi="Times New Roman"/>
          <w:b/>
          <w:i/>
          <w:sz w:val="24"/>
          <w:szCs w:val="24"/>
        </w:rPr>
        <w:t>Gesamtkunstwerk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in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 Ivan Meštrović’s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oeuvre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: at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intersection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 art,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politics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religion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993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3123">
        <w:rPr>
          <w:rFonts w:ascii="Times New Roman" w:hAnsi="Times New Roman"/>
          <w:b/>
          <w:sz w:val="24"/>
          <w:szCs w:val="24"/>
        </w:rPr>
        <w:t>self-reflection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02F56" w:rsidRDefault="00002F56" w:rsidP="00002F56">
      <w:pPr>
        <w:spacing w:line="360" w:lineRule="auto"/>
        <w:contextualSpacing/>
        <w:mirrorIndents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2F56" w:rsidRPr="00A101B4" w:rsidRDefault="00002F56" w:rsidP="00002F56">
      <w:pPr>
        <w:spacing w:line="36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proofErr w:type="spellStart"/>
      <w:r w:rsidRPr="00A101B4">
        <w:rPr>
          <w:rFonts w:ascii="Times New Roman" w:hAnsi="Times New Roman"/>
          <w:b/>
          <w:sz w:val="24"/>
          <w:szCs w:val="24"/>
        </w:rPr>
        <w:t>Abstract</w:t>
      </w:r>
      <w:proofErr w:type="spellEnd"/>
    </w:p>
    <w:p w:rsidR="00002F56" w:rsidRDefault="00002F56" w:rsidP="00002F56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55FB">
        <w:rPr>
          <w:rFonts w:ascii="Times New Roman" w:hAnsi="Times New Roman"/>
          <w:sz w:val="24"/>
          <w:szCs w:val="24"/>
        </w:rPr>
        <w:t>This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study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examines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three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architectural-sculptural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projects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of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Ivan Meštrović </w:t>
      </w:r>
      <w:proofErr w:type="spellStart"/>
      <w:r w:rsidRPr="003155FB">
        <w:rPr>
          <w:rFonts w:ascii="Times New Roman" w:hAnsi="Times New Roman"/>
          <w:sz w:val="24"/>
          <w:szCs w:val="24"/>
        </w:rPr>
        <w:t>which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clearly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demonstrate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artist’s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understanding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application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of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i/>
          <w:sz w:val="24"/>
          <w:szCs w:val="24"/>
        </w:rPr>
        <w:t>Gesamtkunstwerk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as a </w:t>
      </w:r>
      <w:proofErr w:type="spellStart"/>
      <w:r w:rsidRPr="003155FB">
        <w:rPr>
          <w:rFonts w:ascii="Times New Roman" w:hAnsi="Times New Roman"/>
          <w:sz w:val="24"/>
          <w:szCs w:val="24"/>
        </w:rPr>
        <w:t>special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form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of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artistic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creation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Temple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Vidovdan</w:t>
      </w:r>
      <w:r w:rsidRPr="003155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Church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Our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Lady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Angels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Cavtat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Church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Most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Holy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Redeemer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Otavice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155FB">
        <w:rPr>
          <w:rFonts w:ascii="Times New Roman" w:hAnsi="Times New Roman"/>
          <w:sz w:val="24"/>
          <w:szCs w:val="24"/>
        </w:rPr>
        <w:t>This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text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shows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3155FB">
        <w:rPr>
          <w:rFonts w:ascii="Times New Roman" w:hAnsi="Times New Roman"/>
          <w:sz w:val="24"/>
          <w:szCs w:val="24"/>
        </w:rPr>
        <w:t>which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degree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i/>
          <w:sz w:val="24"/>
          <w:szCs w:val="24"/>
        </w:rPr>
        <w:t>Gesamtkunstwerk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protocol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was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important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interpretation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of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Meštrović’s </w:t>
      </w:r>
      <w:proofErr w:type="spellStart"/>
      <w:r w:rsidRPr="003155FB">
        <w:rPr>
          <w:rFonts w:ascii="Times New Roman" w:hAnsi="Times New Roman"/>
          <w:sz w:val="24"/>
          <w:szCs w:val="24"/>
        </w:rPr>
        <w:t>architectural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creations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155FB">
        <w:rPr>
          <w:rFonts w:ascii="Times New Roman" w:hAnsi="Times New Roman"/>
          <w:sz w:val="24"/>
          <w:szCs w:val="24"/>
        </w:rPr>
        <w:t>It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explains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interprets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how Meštrović, as </w:t>
      </w:r>
      <w:proofErr w:type="spellStart"/>
      <w:r w:rsidRPr="003155FB">
        <w:rPr>
          <w:rFonts w:ascii="Times New Roman" w:hAnsi="Times New Roman"/>
          <w:sz w:val="24"/>
          <w:szCs w:val="24"/>
        </w:rPr>
        <w:t>almost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3155FB">
        <w:rPr>
          <w:rFonts w:ascii="Times New Roman" w:hAnsi="Times New Roman"/>
          <w:sz w:val="24"/>
          <w:szCs w:val="24"/>
        </w:rPr>
        <w:t>other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modernist artist </w:t>
      </w:r>
      <w:proofErr w:type="spellStart"/>
      <w:r w:rsidRPr="003155FB">
        <w:rPr>
          <w:rFonts w:ascii="Times New Roman" w:hAnsi="Times New Roman"/>
          <w:sz w:val="24"/>
          <w:szCs w:val="24"/>
        </w:rPr>
        <w:t>in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Croatia</w:t>
      </w:r>
      <w:r>
        <w:rPr>
          <w:rFonts w:ascii="Times New Roman" w:hAnsi="Times New Roman"/>
          <w:sz w:val="24"/>
          <w:szCs w:val="24"/>
        </w:rPr>
        <w:t>,</w:t>
      </w:r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brought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closer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united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– at </w:t>
      </w:r>
      <w:proofErr w:type="spellStart"/>
      <w:r w:rsidRPr="003155FB">
        <w:rPr>
          <w:rFonts w:ascii="Times New Roman" w:hAnsi="Times New Roman"/>
          <w:sz w:val="24"/>
          <w:szCs w:val="24"/>
        </w:rPr>
        <w:t>that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time </w:t>
      </w:r>
      <w:proofErr w:type="spellStart"/>
      <w:r w:rsidRPr="003155FB">
        <w:rPr>
          <w:rFonts w:ascii="Times New Roman" w:hAnsi="Times New Roman"/>
          <w:sz w:val="24"/>
          <w:szCs w:val="24"/>
        </w:rPr>
        <w:t>largely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divided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155FB">
        <w:rPr>
          <w:rFonts w:ascii="Times New Roman" w:hAnsi="Times New Roman"/>
          <w:sz w:val="24"/>
          <w:szCs w:val="24"/>
        </w:rPr>
        <w:t>architectural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sculptural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forms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into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inseparable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artistic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complex, </w:t>
      </w:r>
      <w:proofErr w:type="spellStart"/>
      <w:r w:rsidRPr="003155FB">
        <w:rPr>
          <w:rFonts w:ascii="Times New Roman" w:hAnsi="Times New Roman"/>
          <w:sz w:val="24"/>
          <w:szCs w:val="24"/>
        </w:rPr>
        <w:t>subsequently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immersing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them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spectre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of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different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contextual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social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55FB">
        <w:rPr>
          <w:rFonts w:ascii="Times New Roman" w:hAnsi="Times New Roman"/>
          <w:sz w:val="24"/>
          <w:szCs w:val="24"/>
        </w:rPr>
        <w:t>political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55FB">
        <w:rPr>
          <w:rFonts w:ascii="Times New Roman" w:hAnsi="Times New Roman"/>
          <w:sz w:val="24"/>
          <w:szCs w:val="24"/>
        </w:rPr>
        <w:t>religious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or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self-reflexive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units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study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shows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how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nature </w:t>
      </w:r>
      <w:proofErr w:type="spellStart"/>
      <w:r w:rsidRPr="003155FB">
        <w:rPr>
          <w:rFonts w:ascii="Times New Roman" w:hAnsi="Times New Roman"/>
          <w:sz w:val="24"/>
          <w:szCs w:val="24"/>
        </w:rPr>
        <w:t>of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i/>
          <w:sz w:val="24"/>
          <w:szCs w:val="24"/>
        </w:rPr>
        <w:t>Gesamtkunstwerk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protocol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changed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from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155FB">
        <w:rPr>
          <w:rFonts w:ascii="Times New Roman" w:hAnsi="Times New Roman"/>
          <w:sz w:val="24"/>
          <w:szCs w:val="24"/>
        </w:rPr>
        <w:t>building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impregnated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with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pronounced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political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activism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before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during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World </w:t>
      </w:r>
      <w:proofErr w:type="spellStart"/>
      <w:r w:rsidRPr="003155FB">
        <w:rPr>
          <w:rFonts w:ascii="Times New Roman" w:hAnsi="Times New Roman"/>
          <w:sz w:val="24"/>
          <w:szCs w:val="24"/>
        </w:rPr>
        <w:t>War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I to a </w:t>
      </w:r>
      <w:proofErr w:type="spellStart"/>
      <w:r w:rsidRPr="003155FB">
        <w:rPr>
          <w:rFonts w:ascii="Times New Roman" w:hAnsi="Times New Roman"/>
          <w:sz w:val="24"/>
          <w:szCs w:val="24"/>
        </w:rPr>
        <w:t>somewhat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more </w:t>
      </w:r>
      <w:proofErr w:type="spellStart"/>
      <w:r w:rsidRPr="003155FB">
        <w:rPr>
          <w:rFonts w:ascii="Times New Roman" w:hAnsi="Times New Roman"/>
          <w:sz w:val="24"/>
          <w:szCs w:val="24"/>
        </w:rPr>
        <w:t>reflexive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nature </w:t>
      </w:r>
      <w:proofErr w:type="spellStart"/>
      <w:r w:rsidRPr="003155FB">
        <w:rPr>
          <w:rFonts w:ascii="Times New Roman" w:hAnsi="Times New Roman"/>
          <w:sz w:val="24"/>
          <w:szCs w:val="24"/>
        </w:rPr>
        <w:t>sacral-memorial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spaces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created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after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war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during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1920s. </w:t>
      </w:r>
      <w:proofErr w:type="spellStart"/>
      <w:r w:rsidRPr="003155FB">
        <w:rPr>
          <w:rFonts w:ascii="Times New Roman" w:hAnsi="Times New Roman"/>
          <w:sz w:val="24"/>
          <w:szCs w:val="24"/>
        </w:rPr>
        <w:t>It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important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3155FB">
        <w:rPr>
          <w:rFonts w:ascii="Times New Roman" w:hAnsi="Times New Roman"/>
          <w:sz w:val="24"/>
          <w:szCs w:val="24"/>
        </w:rPr>
        <w:t>mention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that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interpretation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of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“total </w:t>
      </w:r>
      <w:proofErr w:type="spellStart"/>
      <w:r w:rsidRPr="003155FB">
        <w:rPr>
          <w:rFonts w:ascii="Times New Roman" w:hAnsi="Times New Roman"/>
          <w:sz w:val="24"/>
          <w:szCs w:val="24"/>
        </w:rPr>
        <w:t>work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of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art” </w:t>
      </w:r>
      <w:proofErr w:type="spellStart"/>
      <w:r w:rsidRPr="003155FB">
        <w:rPr>
          <w:rFonts w:ascii="Times New Roman" w:hAnsi="Times New Roman"/>
          <w:sz w:val="24"/>
          <w:szCs w:val="24"/>
        </w:rPr>
        <w:t>is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abandoned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3155FB">
        <w:rPr>
          <w:rFonts w:ascii="Times New Roman" w:hAnsi="Times New Roman"/>
          <w:sz w:val="24"/>
          <w:szCs w:val="24"/>
        </w:rPr>
        <w:t>an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exclusively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Lapurlartist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aesthetic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issue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that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different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other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functions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3155FB">
        <w:rPr>
          <w:rFonts w:ascii="Times New Roman" w:hAnsi="Times New Roman"/>
          <w:sz w:val="24"/>
          <w:szCs w:val="24"/>
        </w:rPr>
        <w:t>assigned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in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the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framework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of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wider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social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55FB">
        <w:rPr>
          <w:rFonts w:ascii="Times New Roman" w:hAnsi="Times New Roman"/>
          <w:sz w:val="24"/>
          <w:szCs w:val="24"/>
        </w:rPr>
        <w:t>historical-political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and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religious</w:t>
      </w:r>
      <w:proofErr w:type="spellEnd"/>
      <w:r w:rsidRPr="0031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55FB">
        <w:rPr>
          <w:rFonts w:ascii="Times New Roman" w:hAnsi="Times New Roman"/>
          <w:sz w:val="24"/>
          <w:szCs w:val="24"/>
        </w:rPr>
        <w:t>contexts</w:t>
      </w:r>
      <w:proofErr w:type="spellEnd"/>
      <w:r w:rsidRPr="003155FB">
        <w:rPr>
          <w:rFonts w:ascii="Times New Roman" w:hAnsi="Times New Roman"/>
          <w:sz w:val="24"/>
          <w:szCs w:val="24"/>
        </w:rPr>
        <w:t>.</w:t>
      </w:r>
    </w:p>
    <w:p w:rsidR="00002F56" w:rsidRDefault="00002F56" w:rsidP="00002F5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2F56" w:rsidRPr="00A101B4" w:rsidRDefault="00002F56" w:rsidP="00002F56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01B4">
        <w:rPr>
          <w:rFonts w:ascii="Times New Roman" w:hAnsi="Times New Roman"/>
          <w:b/>
          <w:sz w:val="24"/>
          <w:szCs w:val="24"/>
        </w:rPr>
        <w:t>Riassunto</w:t>
      </w:r>
      <w:proofErr w:type="spellEnd"/>
    </w:p>
    <w:p w:rsidR="00002F56" w:rsidRPr="00A101B4" w:rsidRDefault="00002F56" w:rsidP="00002F5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01B4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A101B4">
        <w:rPr>
          <w:rFonts w:ascii="Times New Roman" w:hAnsi="Times New Roman"/>
          <w:sz w:val="24"/>
          <w:szCs w:val="24"/>
        </w:rPr>
        <w:t>questo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intervento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sono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esaminati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tre </w:t>
      </w:r>
      <w:proofErr w:type="spellStart"/>
      <w:r w:rsidRPr="00A101B4">
        <w:rPr>
          <w:rFonts w:ascii="Times New Roman" w:hAnsi="Times New Roman"/>
          <w:sz w:val="24"/>
          <w:szCs w:val="24"/>
        </w:rPr>
        <w:t>progetti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architettonici-scultorei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di Ivan Meštrović, </w:t>
      </w:r>
      <w:proofErr w:type="spellStart"/>
      <w:r w:rsidRPr="00A101B4">
        <w:rPr>
          <w:rFonts w:ascii="Times New Roman" w:hAnsi="Times New Roman"/>
          <w:sz w:val="24"/>
          <w:szCs w:val="24"/>
        </w:rPr>
        <w:t>nei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quali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è </w:t>
      </w:r>
      <w:proofErr w:type="spellStart"/>
      <w:r w:rsidRPr="00A101B4">
        <w:rPr>
          <w:rFonts w:ascii="Times New Roman" w:hAnsi="Times New Roman"/>
          <w:sz w:val="24"/>
          <w:szCs w:val="24"/>
        </w:rPr>
        <w:t>visibile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101B4">
        <w:rPr>
          <w:rFonts w:ascii="Times New Roman" w:hAnsi="Times New Roman"/>
          <w:sz w:val="24"/>
          <w:szCs w:val="24"/>
        </w:rPr>
        <w:t>comprensione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101B4">
        <w:rPr>
          <w:rFonts w:ascii="Times New Roman" w:hAnsi="Times New Roman"/>
          <w:sz w:val="24"/>
          <w:szCs w:val="24"/>
        </w:rPr>
        <w:t>l'applicazione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della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Gesamtkunstwerk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intesa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come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una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forma </w:t>
      </w:r>
      <w:proofErr w:type="spellStart"/>
      <w:r w:rsidRPr="00A101B4">
        <w:rPr>
          <w:rFonts w:ascii="Times New Roman" w:hAnsi="Times New Roman"/>
          <w:sz w:val="24"/>
          <w:szCs w:val="24"/>
        </w:rPr>
        <w:t>particolare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101B4">
        <w:rPr>
          <w:rFonts w:ascii="Times New Roman" w:hAnsi="Times New Roman"/>
          <w:sz w:val="24"/>
          <w:szCs w:val="24"/>
        </w:rPr>
        <w:t>partecipazione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alla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creazione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artistica: </w:t>
      </w:r>
      <w:proofErr w:type="spellStart"/>
      <w:r w:rsidRPr="00A101B4">
        <w:rPr>
          <w:rFonts w:ascii="Times New Roman" w:hAnsi="Times New Roman"/>
          <w:sz w:val="24"/>
          <w:szCs w:val="24"/>
        </w:rPr>
        <w:t>il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Tempio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di Vidovdan</w:t>
      </w:r>
      <w:r w:rsidRPr="00A101B4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Chiesa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di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Nostra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Signora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degli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Angeli</w:t>
      </w:r>
      <w:r w:rsidRPr="00A101B4">
        <w:rPr>
          <w:rFonts w:ascii="Times New Roman" w:hAnsi="Times New Roman"/>
          <w:sz w:val="24"/>
          <w:szCs w:val="24"/>
        </w:rPr>
        <w:t xml:space="preserve"> a Cavtat e la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Chiesa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del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Santissimo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Redentore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101B4">
        <w:rPr>
          <w:rFonts w:ascii="Times New Roman" w:hAnsi="Times New Roman"/>
          <w:sz w:val="24"/>
          <w:szCs w:val="24"/>
        </w:rPr>
        <w:t>Otavice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01B4">
        <w:rPr>
          <w:rFonts w:ascii="Times New Roman" w:hAnsi="Times New Roman"/>
          <w:sz w:val="24"/>
          <w:szCs w:val="24"/>
        </w:rPr>
        <w:t>Nell'articolo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viene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analizzato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fino a </w:t>
      </w:r>
      <w:proofErr w:type="spellStart"/>
      <w:r w:rsidRPr="00A101B4">
        <w:rPr>
          <w:rFonts w:ascii="Times New Roman" w:hAnsi="Times New Roman"/>
          <w:sz w:val="24"/>
          <w:szCs w:val="24"/>
        </w:rPr>
        <w:t>che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punto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il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protocollo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della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Gesamtkunstwerk</w:t>
      </w:r>
      <w:proofErr w:type="spellEnd"/>
      <w:r w:rsidRPr="00A101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sia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veramente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importante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per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l'interpretazione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delle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realizzazioni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architettoniche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di Meštrović. </w:t>
      </w:r>
      <w:proofErr w:type="spellStart"/>
      <w:r w:rsidRPr="00A101B4">
        <w:rPr>
          <w:rFonts w:ascii="Times New Roman" w:hAnsi="Times New Roman"/>
          <w:sz w:val="24"/>
          <w:szCs w:val="24"/>
        </w:rPr>
        <w:t>Inoltre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viene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spiegato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101B4">
        <w:rPr>
          <w:rFonts w:ascii="Times New Roman" w:hAnsi="Times New Roman"/>
          <w:sz w:val="24"/>
          <w:szCs w:val="24"/>
        </w:rPr>
        <w:t>dimostrato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come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Meštrović, </w:t>
      </w:r>
      <w:proofErr w:type="spellStart"/>
      <w:r w:rsidRPr="00A101B4">
        <w:rPr>
          <w:rFonts w:ascii="Times New Roman" w:hAnsi="Times New Roman"/>
          <w:sz w:val="24"/>
          <w:szCs w:val="24"/>
        </w:rPr>
        <w:t>come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nessun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altro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artista del </w:t>
      </w:r>
      <w:proofErr w:type="spellStart"/>
      <w:r w:rsidRPr="00A101B4">
        <w:rPr>
          <w:rFonts w:ascii="Times New Roman" w:hAnsi="Times New Roman"/>
          <w:sz w:val="24"/>
          <w:szCs w:val="24"/>
        </w:rPr>
        <w:t>modernismo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in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Croazia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abbia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riunito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101B4">
        <w:rPr>
          <w:rFonts w:ascii="Times New Roman" w:hAnsi="Times New Roman"/>
          <w:sz w:val="24"/>
          <w:szCs w:val="24"/>
        </w:rPr>
        <w:t>progettazione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architettonica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101B4">
        <w:rPr>
          <w:rFonts w:ascii="Times New Roman" w:hAnsi="Times New Roman"/>
          <w:sz w:val="24"/>
          <w:szCs w:val="24"/>
        </w:rPr>
        <w:t>quella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scultorea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- fino ad </w:t>
      </w:r>
      <w:proofErr w:type="spellStart"/>
      <w:r w:rsidRPr="00A101B4">
        <w:rPr>
          <w:rFonts w:ascii="Times New Roman" w:hAnsi="Times New Roman"/>
          <w:sz w:val="24"/>
          <w:szCs w:val="24"/>
        </w:rPr>
        <w:t>allora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quasi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sempre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scollegate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101B4">
        <w:rPr>
          <w:rFonts w:ascii="Times New Roman" w:hAnsi="Times New Roman"/>
          <w:sz w:val="24"/>
          <w:szCs w:val="24"/>
        </w:rPr>
        <w:t>in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un'unità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artistica </w:t>
      </w:r>
      <w:proofErr w:type="spellStart"/>
      <w:r w:rsidRPr="00A101B4">
        <w:rPr>
          <w:rFonts w:ascii="Times New Roman" w:hAnsi="Times New Roman"/>
          <w:sz w:val="24"/>
          <w:szCs w:val="24"/>
        </w:rPr>
        <w:t>indissolubile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inserendole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in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seguito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in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una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gamma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101B4">
        <w:rPr>
          <w:rFonts w:ascii="Times New Roman" w:hAnsi="Times New Roman"/>
          <w:sz w:val="24"/>
          <w:szCs w:val="24"/>
        </w:rPr>
        <w:t>varie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unità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contestuali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dell'accezione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sociale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politica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religiosa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101B4">
        <w:rPr>
          <w:rFonts w:ascii="Times New Roman" w:hAnsi="Times New Roman"/>
          <w:sz w:val="24"/>
          <w:szCs w:val="24"/>
        </w:rPr>
        <w:t>autoriflessiva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01B4">
        <w:rPr>
          <w:rFonts w:ascii="Times New Roman" w:hAnsi="Times New Roman"/>
          <w:sz w:val="24"/>
          <w:szCs w:val="24"/>
        </w:rPr>
        <w:t>Nell'intervento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quindi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viene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mostrato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come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la natura del </w:t>
      </w:r>
      <w:proofErr w:type="spellStart"/>
      <w:r w:rsidRPr="00A101B4">
        <w:rPr>
          <w:rFonts w:ascii="Times New Roman" w:hAnsi="Times New Roman"/>
          <w:sz w:val="24"/>
          <w:szCs w:val="24"/>
        </w:rPr>
        <w:t>protocollo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della </w:t>
      </w:r>
      <w:proofErr w:type="spellStart"/>
      <w:r w:rsidRPr="00A101B4">
        <w:rPr>
          <w:rFonts w:ascii="Times New Roman" w:hAnsi="Times New Roman"/>
          <w:i/>
          <w:sz w:val="24"/>
          <w:szCs w:val="24"/>
        </w:rPr>
        <w:t>Gesamtkunstwerk</w:t>
      </w:r>
      <w:r w:rsidRPr="00A101B4">
        <w:rPr>
          <w:rFonts w:ascii="Times New Roman" w:hAnsi="Times New Roman"/>
          <w:sz w:val="24"/>
          <w:szCs w:val="24"/>
        </w:rPr>
        <w:t>cambi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A101B4">
        <w:rPr>
          <w:rFonts w:ascii="Times New Roman" w:hAnsi="Times New Roman"/>
          <w:sz w:val="24"/>
          <w:szCs w:val="24"/>
        </w:rPr>
        <w:t>un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edificio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impregnato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dell'attivismo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politico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prima e </w:t>
      </w:r>
      <w:proofErr w:type="spellStart"/>
      <w:r w:rsidRPr="00A101B4">
        <w:rPr>
          <w:rFonts w:ascii="Times New Roman" w:hAnsi="Times New Roman"/>
          <w:sz w:val="24"/>
          <w:szCs w:val="24"/>
        </w:rPr>
        <w:t>durante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la prima </w:t>
      </w:r>
      <w:proofErr w:type="spellStart"/>
      <w:r w:rsidRPr="00A101B4">
        <w:rPr>
          <w:rFonts w:ascii="Times New Roman" w:hAnsi="Times New Roman"/>
          <w:sz w:val="24"/>
          <w:szCs w:val="24"/>
        </w:rPr>
        <w:t>guerra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mondiale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fino </w:t>
      </w:r>
      <w:proofErr w:type="spellStart"/>
      <w:r w:rsidRPr="00A101B4">
        <w:rPr>
          <w:rFonts w:ascii="Times New Roman" w:hAnsi="Times New Roman"/>
          <w:sz w:val="24"/>
          <w:szCs w:val="24"/>
        </w:rPr>
        <w:t>ai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luoghi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sacrali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101B4">
        <w:rPr>
          <w:rFonts w:ascii="Times New Roman" w:hAnsi="Times New Roman"/>
          <w:sz w:val="24"/>
          <w:szCs w:val="24"/>
        </w:rPr>
        <w:t>memoriali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di natura </w:t>
      </w:r>
      <w:proofErr w:type="spellStart"/>
      <w:r w:rsidRPr="00A101B4">
        <w:rPr>
          <w:rFonts w:ascii="Times New Roman" w:hAnsi="Times New Roman"/>
          <w:sz w:val="24"/>
          <w:szCs w:val="24"/>
        </w:rPr>
        <w:t>più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riflessiva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costruiti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dopo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101B4">
        <w:rPr>
          <w:rFonts w:ascii="Times New Roman" w:hAnsi="Times New Roman"/>
          <w:sz w:val="24"/>
          <w:szCs w:val="24"/>
        </w:rPr>
        <w:t>guerra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101B4">
        <w:rPr>
          <w:rFonts w:ascii="Times New Roman" w:hAnsi="Times New Roman"/>
          <w:sz w:val="24"/>
          <w:szCs w:val="24"/>
        </w:rPr>
        <w:t>negli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anni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venti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. È </w:t>
      </w:r>
      <w:proofErr w:type="spellStart"/>
      <w:r w:rsidRPr="00A101B4">
        <w:rPr>
          <w:rFonts w:ascii="Times New Roman" w:hAnsi="Times New Roman"/>
          <w:sz w:val="24"/>
          <w:szCs w:val="24"/>
        </w:rPr>
        <w:t>importante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lastRenderedPageBreak/>
        <w:t>rilevare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come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viene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abbandonata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l'interpretazione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dell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' “opera totale” </w:t>
      </w:r>
      <w:proofErr w:type="spellStart"/>
      <w:r w:rsidRPr="00A101B4">
        <w:rPr>
          <w:rFonts w:ascii="Times New Roman" w:hAnsi="Times New Roman"/>
          <w:sz w:val="24"/>
          <w:szCs w:val="24"/>
        </w:rPr>
        <w:t>come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una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questione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esclusivamente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lapurlartistica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ed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estetica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e a </w:t>
      </w:r>
      <w:proofErr w:type="spellStart"/>
      <w:r w:rsidRPr="00A101B4">
        <w:rPr>
          <w:rFonts w:ascii="Times New Roman" w:hAnsi="Times New Roman"/>
          <w:sz w:val="24"/>
          <w:szCs w:val="24"/>
        </w:rPr>
        <w:t>questa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vengono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aggiunte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altre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funzioni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dell'opera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in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un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contesto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sociale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01B4">
        <w:rPr>
          <w:rFonts w:ascii="Times New Roman" w:hAnsi="Times New Roman"/>
          <w:sz w:val="24"/>
          <w:szCs w:val="24"/>
        </w:rPr>
        <w:t>storico-politico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101B4">
        <w:rPr>
          <w:rFonts w:ascii="Times New Roman" w:hAnsi="Times New Roman"/>
          <w:sz w:val="24"/>
          <w:szCs w:val="24"/>
        </w:rPr>
        <w:t>religioso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più</w:t>
      </w:r>
      <w:proofErr w:type="spellEnd"/>
      <w:r w:rsidRPr="00A101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1B4">
        <w:rPr>
          <w:rFonts w:ascii="Times New Roman" w:hAnsi="Times New Roman"/>
          <w:sz w:val="24"/>
          <w:szCs w:val="24"/>
        </w:rPr>
        <w:t>ampio</w:t>
      </w:r>
      <w:proofErr w:type="spellEnd"/>
      <w:r w:rsidRPr="00A101B4">
        <w:rPr>
          <w:rFonts w:ascii="Times New Roman" w:hAnsi="Times New Roman"/>
          <w:sz w:val="24"/>
          <w:szCs w:val="24"/>
        </w:rPr>
        <w:t>.</w:t>
      </w:r>
    </w:p>
    <w:p w:rsidR="002B3E7B" w:rsidRDefault="002B3E7B"/>
    <w:sectPr w:rsidR="002B3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D2"/>
    <w:rsid w:val="00002F56"/>
    <w:rsid w:val="002B3E7B"/>
    <w:rsid w:val="00F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7E706-C5CC-4825-B598-872B40BC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2017-07-03T21:36:00Z</dcterms:created>
  <dcterms:modified xsi:type="dcterms:W3CDTF">2017-07-03T21:37:00Z</dcterms:modified>
</cp:coreProperties>
</file>