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709"/>
        <w:gridCol w:w="992"/>
        <w:gridCol w:w="2126"/>
        <w:gridCol w:w="1134"/>
        <w:gridCol w:w="2977"/>
      </w:tblGrid>
      <w:tr w:rsidR="008B47EA" w:rsidRPr="005A12F8" w:rsidTr="00303D2A">
        <w:tc>
          <w:tcPr>
            <w:tcW w:w="675" w:type="dxa"/>
            <w:shd w:val="clear" w:color="auto" w:fill="D9D9D9"/>
          </w:tcPr>
          <w:p w:rsidR="008B47EA" w:rsidRPr="003B2F1E" w:rsidRDefault="008B47EA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N.</w:t>
            </w:r>
          </w:p>
        </w:tc>
        <w:tc>
          <w:tcPr>
            <w:tcW w:w="851" w:type="dxa"/>
            <w:shd w:val="clear" w:color="auto" w:fill="D9D9D9"/>
          </w:tcPr>
          <w:p w:rsidR="008B47EA" w:rsidRPr="003B2F1E" w:rsidRDefault="008B47EA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UT/QD</w:t>
            </w:r>
          </w:p>
        </w:tc>
        <w:tc>
          <w:tcPr>
            <w:tcW w:w="709" w:type="dxa"/>
            <w:shd w:val="clear" w:color="auto" w:fill="D9D9D9"/>
          </w:tcPr>
          <w:p w:rsidR="008B47EA" w:rsidRPr="003B2F1E" w:rsidRDefault="008B47EA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Forma</w:t>
            </w:r>
          </w:p>
        </w:tc>
        <w:tc>
          <w:tcPr>
            <w:tcW w:w="992" w:type="dxa"/>
            <w:shd w:val="clear" w:color="auto" w:fill="D9D9D9"/>
          </w:tcPr>
          <w:p w:rsidR="008B47EA" w:rsidRPr="003B2F1E" w:rsidRDefault="008B47EA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Datazione</w:t>
            </w:r>
          </w:p>
        </w:tc>
        <w:tc>
          <w:tcPr>
            <w:tcW w:w="2126" w:type="dxa"/>
            <w:shd w:val="clear" w:color="auto" w:fill="D9D9D9"/>
          </w:tcPr>
          <w:p w:rsidR="008B47EA" w:rsidRPr="003B2F1E" w:rsidRDefault="008B47EA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Impasto/Rivestimento</w:t>
            </w:r>
          </w:p>
        </w:tc>
        <w:tc>
          <w:tcPr>
            <w:tcW w:w="1134" w:type="dxa"/>
            <w:shd w:val="clear" w:color="auto" w:fill="D9D9D9"/>
          </w:tcPr>
          <w:p w:rsidR="008B47EA" w:rsidRPr="003B2F1E" w:rsidRDefault="008B47EA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Deco</w:t>
            </w:r>
          </w:p>
        </w:tc>
        <w:tc>
          <w:tcPr>
            <w:tcW w:w="2977" w:type="dxa"/>
            <w:shd w:val="clear" w:color="auto" w:fill="D9D9D9"/>
          </w:tcPr>
          <w:p w:rsidR="008B47EA" w:rsidRPr="003B2F1E" w:rsidRDefault="008B47EA" w:rsidP="00303D2A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b/>
                <w:sz w:val="16"/>
                <w:szCs w:val="16"/>
              </w:rPr>
              <w:t>Confronti</w:t>
            </w:r>
          </w:p>
        </w:tc>
      </w:tr>
      <w:tr w:rsidR="008B47EA" w:rsidRPr="005A12F8" w:rsidTr="00303D2A">
        <w:tc>
          <w:tcPr>
            <w:tcW w:w="675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178</w:t>
            </w:r>
          </w:p>
        </w:tc>
        <w:tc>
          <w:tcPr>
            <w:tcW w:w="851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621/201</w:t>
            </w:r>
          </w:p>
        </w:tc>
        <w:tc>
          <w:tcPr>
            <w:tcW w:w="709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bacino</w:t>
            </w:r>
          </w:p>
        </w:tc>
        <w:tc>
          <w:tcPr>
            <w:tcW w:w="992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</w:t>
            </w:r>
          </w:p>
        </w:tc>
        <w:tc>
          <w:tcPr>
            <w:tcW w:w="2126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F07 / vernice consunta, colore marrone chiaro</w:t>
            </w:r>
          </w:p>
        </w:tc>
        <w:tc>
          <w:tcPr>
            <w:tcW w:w="1134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 xml:space="preserve">Brecciaroli Taborelli 24 (da qui in poi Brecciaroli Taborelli n. forma = forme da Brecciaroli Taborelli 1978); da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>Sentinum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(Brecciaroli Taborelli 1978, p. 34-36; Ferrando 2006, t. CXIV); da Rimini (Biondani 2005a, p. 183, tav. 118 - 3, p. 183); da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>Suasa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(Mazzeo</w:t>
            </w:r>
            <w:r w:rsidRPr="003B2F1E">
              <w:rPr>
                <w:rFonts w:ascii="Times New Roman" w:hAnsi="Times New Roman"/>
                <w:smallCaps/>
                <w:sz w:val="16"/>
                <w:szCs w:val="16"/>
              </w:rPr>
              <w:t xml:space="preserve">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Saracino</w:t>
            </w:r>
            <w:r w:rsidRPr="003B2F1E">
              <w:rPr>
                <w:rFonts w:ascii="Times New Roman" w:hAnsi="Times New Roman"/>
                <w:smallCaps/>
                <w:sz w:val="16"/>
                <w:szCs w:val="16"/>
              </w:rPr>
              <w:t xml:space="preserve">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>et al.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1996, p. 181; Biondani 2004, p. 74, fig. 3</w:t>
            </w:r>
            <w:r>
              <w:rPr>
                <w:rFonts w:ascii="Times New Roman" w:hAnsi="Times New Roman"/>
                <w:sz w:val="16"/>
                <w:szCs w:val="16"/>
              </w:rPr>
              <w:t>, 2014, p. 259, fig. 3, 7-15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); da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 xml:space="preserve">Urbs Salvia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(Cingolani, Tubaldi 2013, pp. 208-210, figg. 11-12)</w:t>
            </w:r>
          </w:p>
        </w:tc>
      </w:tr>
      <w:tr w:rsidR="008B47EA" w:rsidRPr="005A12F8" w:rsidTr="00303D2A">
        <w:tc>
          <w:tcPr>
            <w:tcW w:w="675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1479</w:t>
            </w:r>
          </w:p>
        </w:tc>
        <w:tc>
          <w:tcPr>
            <w:tcW w:w="851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>802/1120</w:t>
            </w:r>
          </w:p>
        </w:tc>
        <w:tc>
          <w:tcPr>
            <w:tcW w:w="709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non id.</w:t>
            </w:r>
          </w:p>
        </w:tc>
        <w:tc>
          <w:tcPr>
            <w:tcW w:w="992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</w:t>
            </w:r>
          </w:p>
        </w:tc>
        <w:tc>
          <w:tcPr>
            <w:tcW w:w="2126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F07 / vernice sottile, omogenea, opaca. Colore: 2.5 YR 6/8</w:t>
            </w:r>
          </w:p>
        </w:tc>
        <w:tc>
          <w:tcPr>
            <w:tcW w:w="1134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affine a Brecciaroli Taborelli 17.</w:t>
            </w: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La forma non è ricostruibile per l’esiguità del frammento. Per i confronti si rimanda a 1488. </w:t>
            </w:r>
          </w:p>
        </w:tc>
      </w:tr>
      <w:tr w:rsidR="008B47EA" w:rsidRPr="005A12F8" w:rsidTr="00303D2A">
        <w:tc>
          <w:tcPr>
            <w:tcW w:w="675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1488</w:t>
            </w:r>
          </w:p>
        </w:tc>
        <w:tc>
          <w:tcPr>
            <w:tcW w:w="851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702/214</w:t>
            </w:r>
          </w:p>
        </w:tc>
        <w:tc>
          <w:tcPr>
            <w:tcW w:w="709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piatto</w:t>
            </w:r>
          </w:p>
        </w:tc>
        <w:tc>
          <w:tcPr>
            <w:tcW w:w="992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Romano imperiale/TA</w:t>
            </w:r>
          </w:p>
        </w:tc>
        <w:tc>
          <w:tcPr>
            <w:tcW w:w="2126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F11 /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vernice disomogene</w:t>
            </w:r>
            <w:r>
              <w:rPr>
                <w:rFonts w:ascii="Times New Roman" w:hAnsi="Times New Roman"/>
                <w:sz w:val="16"/>
                <w:szCs w:val="16"/>
              </w:rPr>
              <w:t>a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stesa a chiazze, suddipinture marroni in prossimità dell'orlo. Colore - 5YR 6/8, 5YR2.5/1</w:t>
            </w:r>
          </w:p>
        </w:tc>
        <w:tc>
          <w:tcPr>
            <w:tcW w:w="1134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>Suddipintura</w:t>
            </w:r>
          </w:p>
        </w:tc>
        <w:tc>
          <w:tcPr>
            <w:tcW w:w="2977" w:type="dxa"/>
            <w:shd w:val="clear" w:color="auto" w:fill="auto"/>
          </w:tcPr>
          <w:p w:rsidR="008B47EA" w:rsidRPr="003B2F1E" w:rsidRDefault="008B47EA" w:rsidP="00303D2A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B2F1E">
              <w:rPr>
                <w:rFonts w:ascii="Times New Roman" w:hAnsi="Times New Roman"/>
                <w:sz w:val="16"/>
                <w:szCs w:val="16"/>
              </w:rPr>
              <w:t xml:space="preserve">Brecciaroli Taborelli 10-17; Monte Torto di Osimo (Giuliodori 2001, pp. 69-70, tav. 5, 47-53), Pennabilli,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>Pitinum Pisaurense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(Monacchi 1989, p. 34, tav. XVI, 4), Sassocorvaro,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>Fanum fortunae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, Urbino, Fermignano, Portorecanati, Cone di Arcevia (Mercando 1979, p. 248, 4; fig. 157 h, p. 102, 1-2, fig. 14 c, f, p. 107, 4-7, fig. 119 c, e, g), Ancona/lungomare Vanvitelli e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>Suasa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 xml:space="preserve"> (Mazzeo Saracino </w:t>
            </w:r>
            <w:r w:rsidRPr="003B2F1E">
              <w:rPr>
                <w:rFonts w:ascii="Times New Roman" w:hAnsi="Times New Roman"/>
                <w:i/>
                <w:sz w:val="16"/>
                <w:szCs w:val="16"/>
              </w:rPr>
              <w:t xml:space="preserve">et al. 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1996, p. 146-147, tav. 2, 6-7; Biondani, 2004, p. 74, fig. 3</w:t>
            </w:r>
            <w:r>
              <w:rPr>
                <w:rFonts w:ascii="Times New Roman" w:hAnsi="Times New Roman"/>
                <w:sz w:val="16"/>
                <w:szCs w:val="16"/>
              </w:rPr>
              <w:t>, 2014, p. 264-265, fig. 6-8, 9, 1-6</w:t>
            </w:r>
            <w:r w:rsidRPr="003B2F1E">
              <w:rPr>
                <w:rFonts w:ascii="Times New Roman" w:hAnsi="Times New Roman"/>
                <w:sz w:val="16"/>
                <w:szCs w:val="16"/>
              </w:rPr>
              <w:t>), Classe, Rimini nell’area dell’ex Vescovado (Biondani 2005a, p. 183, tav. 118, 13-16, p. 187, tav. 121, 17-19.) e nell’area Rastelli-Standa (Piolanti 1984, p. 341-342, fig. 5-6, n. 39-46).</w:t>
            </w:r>
          </w:p>
        </w:tc>
      </w:tr>
    </w:tbl>
    <w:p w:rsidR="005C277F" w:rsidRDefault="008B47EA">
      <w:bookmarkStart w:id="0" w:name="_GoBack"/>
      <w:bookmarkEnd w:id="0"/>
    </w:p>
    <w:sectPr w:rsidR="005C2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688"/>
    <w:rsid w:val="002040FE"/>
    <w:rsid w:val="00860F85"/>
    <w:rsid w:val="008B47EA"/>
    <w:rsid w:val="00F2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7EA"/>
    <w:pPr>
      <w:spacing w:after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7EA"/>
    <w:pPr>
      <w:spacing w:after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</dc:creator>
  <cp:lastModifiedBy>Ines</cp:lastModifiedBy>
  <cp:revision>2</cp:revision>
  <dcterms:created xsi:type="dcterms:W3CDTF">2015-05-18T16:37:00Z</dcterms:created>
  <dcterms:modified xsi:type="dcterms:W3CDTF">2015-05-18T16:37:00Z</dcterms:modified>
</cp:coreProperties>
</file>