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992"/>
        <w:gridCol w:w="2126"/>
        <w:gridCol w:w="1134"/>
        <w:gridCol w:w="2977"/>
      </w:tblGrid>
      <w:tr w:rsidR="008B47EA" w:rsidRPr="005A12F8" w:rsidTr="00303D2A">
        <w:tc>
          <w:tcPr>
            <w:tcW w:w="675" w:type="dxa"/>
            <w:shd w:val="clear" w:color="auto" w:fill="D9D9D9"/>
          </w:tcPr>
          <w:p w:rsidR="008B47EA" w:rsidRPr="003B2F1E" w:rsidRDefault="008B47EA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N.</w:t>
            </w:r>
          </w:p>
        </w:tc>
        <w:tc>
          <w:tcPr>
            <w:tcW w:w="851" w:type="dxa"/>
            <w:shd w:val="clear" w:color="auto" w:fill="D9D9D9"/>
          </w:tcPr>
          <w:p w:rsidR="008B47EA" w:rsidRPr="003B2F1E" w:rsidRDefault="008B47EA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UT/QD</w:t>
            </w:r>
          </w:p>
        </w:tc>
        <w:tc>
          <w:tcPr>
            <w:tcW w:w="709" w:type="dxa"/>
            <w:shd w:val="clear" w:color="auto" w:fill="D9D9D9"/>
          </w:tcPr>
          <w:p w:rsidR="008B47EA" w:rsidRPr="003B2F1E" w:rsidRDefault="008B47EA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Forma</w:t>
            </w:r>
          </w:p>
        </w:tc>
        <w:tc>
          <w:tcPr>
            <w:tcW w:w="992" w:type="dxa"/>
            <w:shd w:val="clear" w:color="auto" w:fill="D9D9D9"/>
          </w:tcPr>
          <w:p w:rsidR="008B47EA" w:rsidRPr="003B2F1E" w:rsidRDefault="008B47EA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Datazione</w:t>
            </w:r>
          </w:p>
        </w:tc>
        <w:tc>
          <w:tcPr>
            <w:tcW w:w="2126" w:type="dxa"/>
            <w:shd w:val="clear" w:color="auto" w:fill="D9D9D9"/>
          </w:tcPr>
          <w:p w:rsidR="008B47EA" w:rsidRPr="003B2F1E" w:rsidRDefault="008B47EA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Impasto/Rivestimento</w:t>
            </w:r>
          </w:p>
        </w:tc>
        <w:tc>
          <w:tcPr>
            <w:tcW w:w="1134" w:type="dxa"/>
            <w:shd w:val="clear" w:color="auto" w:fill="D9D9D9"/>
          </w:tcPr>
          <w:p w:rsidR="008B47EA" w:rsidRPr="003B2F1E" w:rsidRDefault="008B47EA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Deco</w:t>
            </w:r>
          </w:p>
        </w:tc>
        <w:tc>
          <w:tcPr>
            <w:tcW w:w="2977" w:type="dxa"/>
            <w:shd w:val="clear" w:color="auto" w:fill="D9D9D9"/>
          </w:tcPr>
          <w:p w:rsidR="008B47EA" w:rsidRPr="003B2F1E" w:rsidRDefault="008B47EA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Confronti</w:t>
            </w:r>
          </w:p>
        </w:tc>
      </w:tr>
      <w:tr w:rsidR="008B47EA" w:rsidRPr="005A12F8" w:rsidTr="00303D2A">
        <w:tc>
          <w:tcPr>
            <w:tcW w:w="675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178</w:t>
            </w:r>
          </w:p>
        </w:tc>
        <w:tc>
          <w:tcPr>
            <w:tcW w:w="851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621/201</w:t>
            </w:r>
          </w:p>
        </w:tc>
        <w:tc>
          <w:tcPr>
            <w:tcW w:w="709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bacino</w:t>
            </w:r>
          </w:p>
        </w:tc>
        <w:tc>
          <w:tcPr>
            <w:tcW w:w="992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126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F07 / vernice consunta, colore marrone chiaro</w:t>
            </w:r>
          </w:p>
        </w:tc>
        <w:tc>
          <w:tcPr>
            <w:tcW w:w="1134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Brecciaroli Taborelli 24 (da qui in poi Brecciaroli Taborelli n. forma = forme da Brecciaroli Taborelli 1978); 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Sentinum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(Brecciaroli Taborelli 1978, p. 34-36; Ferrando 2006, t. CXIV); da Rimini (Biondani 2005a, p. 183, tav. 118 - 3, p. 183); 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(Mazzeo</w:t>
            </w:r>
            <w:r w:rsidRPr="003B2F1E">
              <w:rPr>
                <w:rFonts w:ascii="Times New Roman" w:hAnsi="Times New Roman"/>
                <w:smallCaps/>
                <w:sz w:val="16"/>
                <w:szCs w:val="16"/>
              </w:rPr>
              <w:t xml:space="preserve">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Saracino</w:t>
            </w:r>
            <w:r w:rsidRPr="003B2F1E">
              <w:rPr>
                <w:rFonts w:ascii="Times New Roman" w:hAnsi="Times New Roman"/>
                <w:smallCaps/>
                <w:sz w:val="16"/>
                <w:szCs w:val="16"/>
              </w:rPr>
              <w:t xml:space="preserve">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1996, p. 181; Biondani 2004, p. 74, fig. 3</w:t>
            </w:r>
            <w:r>
              <w:rPr>
                <w:rFonts w:ascii="Times New Roman" w:hAnsi="Times New Roman"/>
                <w:sz w:val="16"/>
                <w:szCs w:val="16"/>
              </w:rPr>
              <w:t>, 2014, p. 259, fig. 3, 7-15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); 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Urbs Salvia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(Cingolani, Tubaldi 2013, pp. 208-210, figg. 11-12)</w:t>
            </w:r>
          </w:p>
        </w:tc>
      </w:tr>
      <w:tr w:rsidR="008B47EA" w:rsidRPr="005A12F8" w:rsidTr="00303D2A">
        <w:tc>
          <w:tcPr>
            <w:tcW w:w="675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1479</w:t>
            </w:r>
          </w:p>
        </w:tc>
        <w:tc>
          <w:tcPr>
            <w:tcW w:w="851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802/1120</w:t>
            </w:r>
          </w:p>
        </w:tc>
        <w:tc>
          <w:tcPr>
            <w:tcW w:w="709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non id.</w:t>
            </w:r>
          </w:p>
        </w:tc>
        <w:tc>
          <w:tcPr>
            <w:tcW w:w="992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126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F07 / vernice sottile, omogenea, opaca. Colore: 2.5 YR 6/8</w:t>
            </w:r>
          </w:p>
        </w:tc>
        <w:tc>
          <w:tcPr>
            <w:tcW w:w="1134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affine a Brecciaroli Taborelli 17.</w:t>
            </w: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La forma non è ricostruibile per l’esiguità del frammento. Per i confronti si rimanda a 1488. </w:t>
            </w:r>
          </w:p>
        </w:tc>
      </w:tr>
      <w:tr w:rsidR="008B47EA" w:rsidRPr="005A12F8" w:rsidTr="00303D2A">
        <w:tc>
          <w:tcPr>
            <w:tcW w:w="675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1488</w:t>
            </w:r>
          </w:p>
        </w:tc>
        <w:tc>
          <w:tcPr>
            <w:tcW w:w="851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702/214</w:t>
            </w:r>
          </w:p>
        </w:tc>
        <w:tc>
          <w:tcPr>
            <w:tcW w:w="709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992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imperiale/TA</w:t>
            </w:r>
          </w:p>
        </w:tc>
        <w:tc>
          <w:tcPr>
            <w:tcW w:w="2126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F11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disomogene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stesa a chiazze, suddipinture marroni in prossimità dell'orlo. Colore - 5YR 6/8, 5YR2.5/1</w:t>
            </w:r>
          </w:p>
        </w:tc>
        <w:tc>
          <w:tcPr>
            <w:tcW w:w="1134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Suddipintura</w:t>
            </w:r>
          </w:p>
        </w:tc>
        <w:tc>
          <w:tcPr>
            <w:tcW w:w="2977" w:type="dxa"/>
            <w:shd w:val="clear" w:color="auto" w:fill="auto"/>
          </w:tcPr>
          <w:p w:rsidR="008B47EA" w:rsidRPr="003B2F1E" w:rsidRDefault="008B47EA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Brecciaroli Taborelli 10-17; Monte Torto di Osimo (Giuliodori 2001, pp. 69-70, tav. 5, 47-53), Pennabilli,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Pitinum Pisaurense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(Monacchi 1989, p. 34, tav. XVI, 4), Sassocorvaro,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Fanum fortunae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, Urbino, Fermignano, Portorecanati, Cone di Arcevia (Mercando 1979, p. 248, 4; fig. 157 h, p. 102, 1-2, fig. 14 c, f, p. 107, 4-7, fig. 119 c, e, g), Ancona/lungomare Vanvitelli e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(Mazzeo Saracino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 al.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1996, p. 146-147, tav. 2, 6-7; Biondani, 2004, p. 74, fig. 3</w:t>
            </w:r>
            <w:r>
              <w:rPr>
                <w:rFonts w:ascii="Times New Roman" w:hAnsi="Times New Roman"/>
                <w:sz w:val="16"/>
                <w:szCs w:val="16"/>
              </w:rPr>
              <w:t>, 2014, p. 264-265, fig. 6-8, 9, 1-6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), Classe, Rimini nell’area dell’ex Vescovado (Biondani 2005a, p. 183, tav. 118, 13-16, p. 187, tav. 121, 17-19.) e nell’area Rastelli-Standa (Piolanti 1984, p. 341-342, fig. 5-6, n. 39-46).</w:t>
            </w:r>
          </w:p>
        </w:tc>
      </w:tr>
    </w:tbl>
    <w:p w:rsidR="005C277F" w:rsidRDefault="008B47EA">
      <w:bookmarkStart w:id="0" w:name="_GoBack"/>
      <w:bookmarkEnd w:id="0"/>
    </w:p>
    <w:sectPr w:rsidR="005C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88"/>
    <w:rsid w:val="002040FE"/>
    <w:rsid w:val="00860F85"/>
    <w:rsid w:val="008B47EA"/>
    <w:rsid w:val="00F2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EA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EA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2</cp:revision>
  <dcterms:created xsi:type="dcterms:W3CDTF">2015-05-18T16:37:00Z</dcterms:created>
  <dcterms:modified xsi:type="dcterms:W3CDTF">2015-05-18T16:37:00Z</dcterms:modified>
</cp:coreProperties>
</file>