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027"/>
        <w:gridCol w:w="992"/>
        <w:gridCol w:w="2268"/>
        <w:gridCol w:w="1417"/>
        <w:gridCol w:w="2694"/>
      </w:tblGrid>
      <w:tr w:rsidR="00C87719" w:rsidRPr="001617A5" w:rsidTr="00303D2A">
        <w:tc>
          <w:tcPr>
            <w:tcW w:w="675" w:type="dxa"/>
            <w:shd w:val="clear" w:color="auto" w:fill="D9D9D9"/>
          </w:tcPr>
          <w:p w:rsidR="00C87719" w:rsidRPr="001617A5" w:rsidRDefault="00C87719" w:rsidP="00303D2A">
            <w:pPr>
              <w:rPr>
                <w:rFonts w:ascii="Times New Roman" w:hAnsi="Times New Roman"/>
                <w:b/>
                <w:sz w:val="16"/>
                <w:szCs w:val="16"/>
              </w:rPr>
            </w:pPr>
            <w:r w:rsidRPr="001617A5">
              <w:rPr>
                <w:rFonts w:ascii="Times New Roman" w:hAnsi="Times New Roman"/>
                <w:b/>
                <w:sz w:val="16"/>
                <w:szCs w:val="16"/>
              </w:rPr>
              <w:t>N.</w:t>
            </w:r>
          </w:p>
        </w:tc>
        <w:tc>
          <w:tcPr>
            <w:tcW w:w="851" w:type="dxa"/>
            <w:shd w:val="clear" w:color="auto" w:fill="D9D9D9"/>
          </w:tcPr>
          <w:p w:rsidR="00C87719" w:rsidRPr="001617A5" w:rsidRDefault="00C87719" w:rsidP="00303D2A">
            <w:pPr>
              <w:rPr>
                <w:rFonts w:ascii="Times New Roman" w:hAnsi="Times New Roman"/>
                <w:b/>
                <w:sz w:val="16"/>
                <w:szCs w:val="16"/>
              </w:rPr>
            </w:pPr>
            <w:r w:rsidRPr="001617A5">
              <w:rPr>
                <w:rFonts w:ascii="Times New Roman" w:hAnsi="Times New Roman"/>
                <w:b/>
                <w:sz w:val="16"/>
                <w:szCs w:val="16"/>
              </w:rPr>
              <w:t>UT/QD</w:t>
            </w:r>
          </w:p>
        </w:tc>
        <w:tc>
          <w:tcPr>
            <w:tcW w:w="1027" w:type="dxa"/>
            <w:shd w:val="clear" w:color="auto" w:fill="D9D9D9"/>
          </w:tcPr>
          <w:p w:rsidR="00C87719" w:rsidRPr="001617A5" w:rsidRDefault="00C87719" w:rsidP="00303D2A">
            <w:pPr>
              <w:rPr>
                <w:rFonts w:ascii="Times New Roman" w:hAnsi="Times New Roman"/>
                <w:b/>
                <w:sz w:val="16"/>
                <w:szCs w:val="16"/>
              </w:rPr>
            </w:pPr>
            <w:r w:rsidRPr="001617A5">
              <w:rPr>
                <w:rFonts w:ascii="Times New Roman" w:hAnsi="Times New Roman"/>
                <w:b/>
                <w:sz w:val="16"/>
                <w:szCs w:val="16"/>
              </w:rPr>
              <w:t>Forma</w:t>
            </w:r>
          </w:p>
        </w:tc>
        <w:tc>
          <w:tcPr>
            <w:tcW w:w="992" w:type="dxa"/>
            <w:shd w:val="clear" w:color="auto" w:fill="D9D9D9"/>
          </w:tcPr>
          <w:p w:rsidR="00C87719" w:rsidRPr="001617A5" w:rsidRDefault="00C87719" w:rsidP="00303D2A">
            <w:pPr>
              <w:rPr>
                <w:rFonts w:ascii="Times New Roman" w:hAnsi="Times New Roman"/>
                <w:b/>
                <w:sz w:val="16"/>
                <w:szCs w:val="16"/>
              </w:rPr>
            </w:pPr>
            <w:r w:rsidRPr="001617A5">
              <w:rPr>
                <w:rFonts w:ascii="Times New Roman" w:hAnsi="Times New Roman"/>
                <w:b/>
                <w:sz w:val="16"/>
                <w:szCs w:val="16"/>
              </w:rPr>
              <w:t>Datazione</w:t>
            </w:r>
          </w:p>
        </w:tc>
        <w:tc>
          <w:tcPr>
            <w:tcW w:w="2268" w:type="dxa"/>
            <w:shd w:val="clear" w:color="auto" w:fill="D9D9D9"/>
          </w:tcPr>
          <w:p w:rsidR="00C87719" w:rsidRPr="001617A5" w:rsidRDefault="00C87719" w:rsidP="00303D2A">
            <w:pPr>
              <w:rPr>
                <w:rFonts w:ascii="Times New Roman" w:hAnsi="Times New Roman"/>
                <w:b/>
                <w:sz w:val="16"/>
                <w:szCs w:val="16"/>
              </w:rPr>
            </w:pPr>
            <w:r w:rsidRPr="001617A5">
              <w:rPr>
                <w:rFonts w:ascii="Times New Roman" w:hAnsi="Times New Roman"/>
                <w:b/>
                <w:sz w:val="16"/>
                <w:szCs w:val="16"/>
              </w:rPr>
              <w:t xml:space="preserve">Impasto/ Rivestimento </w:t>
            </w:r>
          </w:p>
        </w:tc>
        <w:tc>
          <w:tcPr>
            <w:tcW w:w="1417" w:type="dxa"/>
            <w:shd w:val="clear" w:color="auto" w:fill="D9D9D9"/>
          </w:tcPr>
          <w:p w:rsidR="00C87719" w:rsidRPr="001617A5" w:rsidRDefault="00C87719" w:rsidP="00303D2A">
            <w:pPr>
              <w:rPr>
                <w:rFonts w:ascii="Times New Roman" w:hAnsi="Times New Roman"/>
                <w:b/>
                <w:sz w:val="16"/>
                <w:szCs w:val="16"/>
              </w:rPr>
            </w:pPr>
            <w:r w:rsidRPr="001617A5">
              <w:rPr>
                <w:rFonts w:ascii="Times New Roman" w:hAnsi="Times New Roman"/>
                <w:b/>
                <w:sz w:val="16"/>
                <w:szCs w:val="16"/>
              </w:rPr>
              <w:t>Deco</w:t>
            </w:r>
          </w:p>
        </w:tc>
        <w:tc>
          <w:tcPr>
            <w:tcW w:w="2694" w:type="dxa"/>
            <w:shd w:val="clear" w:color="auto" w:fill="D9D9D9"/>
          </w:tcPr>
          <w:p w:rsidR="00C87719" w:rsidRPr="001617A5" w:rsidRDefault="00C87719" w:rsidP="00303D2A">
            <w:pPr>
              <w:rPr>
                <w:rFonts w:ascii="Times New Roman" w:hAnsi="Times New Roman"/>
                <w:b/>
                <w:sz w:val="16"/>
                <w:szCs w:val="16"/>
              </w:rPr>
            </w:pPr>
            <w:r w:rsidRPr="001617A5">
              <w:rPr>
                <w:rFonts w:ascii="Times New Roman" w:hAnsi="Times New Roman"/>
                <w:b/>
                <w:sz w:val="16"/>
                <w:szCs w:val="16"/>
              </w:rPr>
              <w:t>Confronti</w:t>
            </w:r>
          </w:p>
        </w:tc>
      </w:tr>
      <w:tr w:rsidR="00C87719" w:rsidRPr="001617A5" w:rsidTr="00303D2A">
        <w:tc>
          <w:tcPr>
            <w:tcW w:w="675"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1466</w:t>
            </w:r>
          </w:p>
        </w:tc>
        <w:tc>
          <w:tcPr>
            <w:tcW w:w="851"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802/920</w:t>
            </w:r>
          </w:p>
        </w:tc>
        <w:tc>
          <w:tcPr>
            <w:tcW w:w="1027" w:type="dxa"/>
            <w:shd w:val="clear" w:color="auto" w:fill="auto"/>
          </w:tcPr>
          <w:p w:rsidR="00C87719" w:rsidRPr="001617A5" w:rsidRDefault="00C87719" w:rsidP="00303D2A">
            <w:pPr>
              <w:ind w:right="141"/>
              <w:rPr>
                <w:rFonts w:ascii="Times New Roman" w:hAnsi="Times New Roman"/>
                <w:sz w:val="16"/>
                <w:szCs w:val="16"/>
              </w:rPr>
            </w:pPr>
            <w:r w:rsidRPr="001617A5">
              <w:rPr>
                <w:rFonts w:ascii="Times New Roman" w:hAnsi="Times New Roman"/>
                <w:sz w:val="16"/>
                <w:szCs w:val="16"/>
              </w:rPr>
              <w:t>bicchiere</w:t>
            </w:r>
          </w:p>
        </w:tc>
        <w:tc>
          <w:tcPr>
            <w:tcW w:w="992"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Romano</w:t>
            </w:r>
          </w:p>
        </w:tc>
        <w:tc>
          <w:tcPr>
            <w:tcW w:w="2268"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 xml:space="preserve">F03 </w:t>
            </w:r>
          </w:p>
        </w:tc>
        <w:tc>
          <w:tcPr>
            <w:tcW w:w="1417" w:type="dxa"/>
            <w:shd w:val="clear" w:color="auto" w:fill="auto"/>
          </w:tcPr>
          <w:p w:rsidR="00C87719" w:rsidRPr="001617A5" w:rsidRDefault="00C87719" w:rsidP="00303D2A">
            <w:pPr>
              <w:rPr>
                <w:rFonts w:ascii="Times New Roman" w:hAnsi="Times New Roman"/>
                <w:b/>
                <w:sz w:val="16"/>
                <w:szCs w:val="16"/>
              </w:rPr>
            </w:pPr>
          </w:p>
        </w:tc>
        <w:tc>
          <w:tcPr>
            <w:tcW w:w="2694"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Ricci I/212, 1/365 (da qui in poi Ricci=Ricci 1985); da Portorecanati, S. Vittore di Cingoli, Urbino (</w:t>
            </w:r>
            <w:r w:rsidRPr="001617A5">
              <w:rPr>
                <w:rFonts w:ascii="Times New Roman" w:hAnsi="Times New Roman"/>
                <w:noProof/>
                <w:sz w:val="16"/>
                <w:szCs w:val="16"/>
              </w:rPr>
              <w:t>Mercando 1974, p. 188, fig. 59q</w:t>
            </w:r>
            <w:r w:rsidRPr="001617A5">
              <w:rPr>
                <w:rFonts w:ascii="Times New Roman" w:hAnsi="Times New Roman"/>
                <w:sz w:val="16"/>
                <w:szCs w:val="16"/>
              </w:rPr>
              <w:t xml:space="preserve">,  </w:t>
            </w:r>
            <w:r w:rsidRPr="001617A5">
              <w:rPr>
                <w:rFonts w:ascii="Times New Roman" w:hAnsi="Times New Roman"/>
                <w:noProof/>
                <w:sz w:val="16"/>
                <w:szCs w:val="16"/>
              </w:rPr>
              <w:t>1974a, p. 112, fig. 32b</w:t>
            </w:r>
            <w:r w:rsidRPr="001617A5">
              <w:rPr>
                <w:rFonts w:ascii="Times New Roman" w:hAnsi="Times New Roman"/>
                <w:sz w:val="16"/>
                <w:szCs w:val="16"/>
              </w:rPr>
              <w:t xml:space="preserve"> e </w:t>
            </w:r>
            <w:r w:rsidRPr="001617A5">
              <w:rPr>
                <w:rFonts w:ascii="Times New Roman" w:hAnsi="Times New Roman"/>
                <w:noProof/>
                <w:sz w:val="16"/>
                <w:szCs w:val="16"/>
              </w:rPr>
              <w:t>1982, p. 160, figg. 30e, 35); da Monte Torto (Montironi 2001a, pp. 61-62, tav. III, 24).</w:t>
            </w:r>
          </w:p>
        </w:tc>
      </w:tr>
      <w:tr w:rsidR="00C87719" w:rsidRPr="001617A5" w:rsidTr="00303D2A">
        <w:tc>
          <w:tcPr>
            <w:tcW w:w="675"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1468</w:t>
            </w:r>
          </w:p>
        </w:tc>
        <w:tc>
          <w:tcPr>
            <w:tcW w:w="851"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802/1320</w:t>
            </w:r>
          </w:p>
        </w:tc>
        <w:tc>
          <w:tcPr>
            <w:tcW w:w="1027"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non id. – coppa?</w:t>
            </w:r>
          </w:p>
        </w:tc>
        <w:tc>
          <w:tcPr>
            <w:tcW w:w="992"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Romano imperiale</w:t>
            </w:r>
          </w:p>
        </w:tc>
        <w:tc>
          <w:tcPr>
            <w:tcW w:w="2268"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F03 / rivestimento poco uniforme. Colore: 10R 3/2, 10R4/8, 10R 5/8.</w:t>
            </w:r>
          </w:p>
        </w:tc>
        <w:tc>
          <w:tcPr>
            <w:tcW w:w="1417" w:type="dxa"/>
            <w:shd w:val="clear" w:color="auto" w:fill="auto"/>
          </w:tcPr>
          <w:p w:rsidR="00C87719" w:rsidRPr="001617A5" w:rsidRDefault="00C87719" w:rsidP="00303D2A">
            <w:pPr>
              <w:rPr>
                <w:rFonts w:ascii="Times New Roman" w:hAnsi="Times New Roman"/>
                <w:b/>
                <w:sz w:val="16"/>
                <w:szCs w:val="16"/>
              </w:rPr>
            </w:pPr>
            <w:r w:rsidRPr="001617A5">
              <w:rPr>
                <w:rFonts w:ascii="Times New Roman" w:hAnsi="Times New Roman"/>
                <w:sz w:val="16"/>
                <w:szCs w:val="16"/>
              </w:rPr>
              <w:t xml:space="preserve">002: decorazione a </w:t>
            </w:r>
            <w:r w:rsidRPr="001617A5">
              <w:rPr>
                <w:rFonts w:ascii="Times New Roman" w:hAnsi="Times New Roman"/>
                <w:i/>
                <w:sz w:val="16"/>
                <w:szCs w:val="16"/>
              </w:rPr>
              <w:t>barbotine</w:t>
            </w:r>
            <w:r w:rsidRPr="001617A5">
              <w:rPr>
                <w:rFonts w:ascii="Times New Roman" w:hAnsi="Times New Roman"/>
                <w:sz w:val="16"/>
                <w:szCs w:val="16"/>
              </w:rPr>
              <w:t xml:space="preserve"> a squame</w:t>
            </w:r>
          </w:p>
        </w:tc>
        <w:tc>
          <w:tcPr>
            <w:tcW w:w="2694"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 xml:space="preserve">decorazione Ricci 91, 337-339, 340, 198; da </w:t>
            </w:r>
            <w:r w:rsidRPr="001617A5">
              <w:rPr>
                <w:rFonts w:ascii="Times New Roman" w:hAnsi="Times New Roman"/>
                <w:i/>
                <w:sz w:val="16"/>
                <w:szCs w:val="16"/>
              </w:rPr>
              <w:t>Pitiunum Pisaurense</w:t>
            </w:r>
            <w:r w:rsidRPr="001617A5">
              <w:rPr>
                <w:rFonts w:ascii="Times New Roman" w:hAnsi="Times New Roman"/>
                <w:sz w:val="16"/>
                <w:szCs w:val="16"/>
              </w:rPr>
              <w:t xml:space="preserve"> (</w:t>
            </w:r>
            <w:r w:rsidRPr="001617A5">
              <w:rPr>
                <w:rFonts w:ascii="Times New Roman" w:hAnsi="Times New Roman"/>
                <w:noProof/>
                <w:sz w:val="16"/>
                <w:szCs w:val="16"/>
              </w:rPr>
              <w:t>Monacchi 1989, p. 32, n. 3, tav. XV, 3)</w:t>
            </w:r>
            <w:r w:rsidRPr="001617A5">
              <w:rPr>
                <w:rFonts w:ascii="Times New Roman" w:hAnsi="Times New Roman"/>
                <w:sz w:val="16"/>
                <w:szCs w:val="16"/>
              </w:rPr>
              <w:t>; da Portorecanati  (</w:t>
            </w:r>
            <w:r w:rsidRPr="001617A5">
              <w:rPr>
                <w:rFonts w:ascii="Times New Roman" w:hAnsi="Times New Roman"/>
                <w:noProof/>
                <w:sz w:val="16"/>
                <w:szCs w:val="16"/>
              </w:rPr>
              <w:t>Mercando 1979, pp. 210-213, fig. 126, c, d, e, g, fig. 128, c, d, pp. 231-233, fig. 145, g, pp. 240-241, fig. 152, b, f)</w:t>
            </w:r>
            <w:r w:rsidRPr="001617A5">
              <w:rPr>
                <w:rFonts w:ascii="Times New Roman" w:hAnsi="Times New Roman"/>
                <w:sz w:val="16"/>
                <w:szCs w:val="16"/>
              </w:rPr>
              <w:t>; da Castelfidardo (</w:t>
            </w:r>
            <w:r w:rsidRPr="001617A5">
              <w:rPr>
                <w:rFonts w:ascii="Times New Roman" w:hAnsi="Times New Roman"/>
                <w:noProof/>
                <w:sz w:val="16"/>
                <w:szCs w:val="16"/>
              </w:rPr>
              <w:t>Mercando 1979, pp. 141, 143, fig. 54, m, fig. 57, a); da</w:t>
            </w:r>
            <w:r w:rsidRPr="001617A5">
              <w:rPr>
                <w:rFonts w:ascii="Times New Roman" w:hAnsi="Times New Roman"/>
                <w:sz w:val="16"/>
                <w:szCs w:val="16"/>
              </w:rPr>
              <w:t xml:space="preserve"> Monte Torto di Osimo</w:t>
            </w:r>
            <w:r w:rsidRPr="001617A5">
              <w:rPr>
                <w:rFonts w:ascii="Times New Roman" w:hAnsi="Times New Roman"/>
                <w:noProof/>
                <w:sz w:val="16"/>
                <w:szCs w:val="16"/>
              </w:rPr>
              <w:t xml:space="preserve"> (Montironi 2001a, p. 63-64, 65, tav. IV, 40)</w:t>
            </w:r>
            <w:r w:rsidRPr="001617A5">
              <w:rPr>
                <w:rFonts w:ascii="Times New Roman" w:hAnsi="Times New Roman"/>
                <w:sz w:val="16"/>
                <w:szCs w:val="16"/>
              </w:rPr>
              <w:t xml:space="preserve">; da </w:t>
            </w:r>
            <w:r w:rsidRPr="001617A5">
              <w:rPr>
                <w:rFonts w:ascii="Times New Roman" w:hAnsi="Times New Roman"/>
                <w:i/>
                <w:sz w:val="16"/>
                <w:szCs w:val="16"/>
              </w:rPr>
              <w:t>Suasa</w:t>
            </w:r>
            <w:r w:rsidRPr="001617A5">
              <w:rPr>
                <w:rFonts w:ascii="Times New Roman" w:hAnsi="Times New Roman"/>
                <w:sz w:val="16"/>
                <w:szCs w:val="16"/>
              </w:rPr>
              <w:t xml:space="preserve"> (Montironi 2014: 328-329, t. 18, 21)</w:t>
            </w:r>
          </w:p>
        </w:tc>
      </w:tr>
      <w:tr w:rsidR="00C87719" w:rsidRPr="001617A5" w:rsidTr="00303D2A">
        <w:tc>
          <w:tcPr>
            <w:tcW w:w="675"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1477</w:t>
            </w:r>
          </w:p>
        </w:tc>
        <w:tc>
          <w:tcPr>
            <w:tcW w:w="851"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802/1321</w:t>
            </w:r>
          </w:p>
        </w:tc>
        <w:tc>
          <w:tcPr>
            <w:tcW w:w="1027"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non id. (aperta)</w:t>
            </w:r>
          </w:p>
        </w:tc>
        <w:tc>
          <w:tcPr>
            <w:tcW w:w="992"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Romano</w:t>
            </w:r>
          </w:p>
        </w:tc>
        <w:tc>
          <w:tcPr>
            <w:tcW w:w="2268"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F03</w:t>
            </w:r>
          </w:p>
        </w:tc>
        <w:tc>
          <w:tcPr>
            <w:tcW w:w="1417" w:type="dxa"/>
            <w:shd w:val="clear" w:color="auto" w:fill="auto"/>
          </w:tcPr>
          <w:p w:rsidR="00C87719" w:rsidRPr="001617A5" w:rsidRDefault="00C87719" w:rsidP="00303D2A">
            <w:pPr>
              <w:rPr>
                <w:rFonts w:ascii="Times New Roman" w:hAnsi="Times New Roman"/>
                <w:b/>
                <w:sz w:val="16"/>
                <w:szCs w:val="16"/>
              </w:rPr>
            </w:pPr>
          </w:p>
        </w:tc>
        <w:tc>
          <w:tcPr>
            <w:tcW w:w="2694"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noProof/>
                <w:sz w:val="16"/>
                <w:szCs w:val="16"/>
              </w:rPr>
              <w:t>Ricci</w:t>
            </w:r>
            <w:r w:rsidRPr="001617A5">
              <w:rPr>
                <w:rFonts w:ascii="Times New Roman" w:hAnsi="Times New Roman"/>
                <w:sz w:val="16"/>
                <w:szCs w:val="16"/>
              </w:rPr>
              <w:t xml:space="preserve"> I/19 o 20 o 362; da Portorecanati, Cesano di Senigallia </w:t>
            </w:r>
            <w:r w:rsidRPr="001617A5">
              <w:rPr>
                <w:rFonts w:ascii="Times New Roman" w:hAnsi="Times New Roman"/>
                <w:noProof/>
                <w:sz w:val="16"/>
                <w:szCs w:val="16"/>
              </w:rPr>
              <w:t xml:space="preserve">(Mercando 1974, p. 350, t. 208, 1-2, fig. 271, 274, 208a, b e 1979, p. 121, n. 2, fig. 32, f); da </w:t>
            </w:r>
            <w:r w:rsidRPr="001617A5">
              <w:rPr>
                <w:rFonts w:ascii="Times New Roman" w:hAnsi="Times New Roman"/>
                <w:i/>
                <w:noProof/>
                <w:sz w:val="16"/>
                <w:szCs w:val="16"/>
              </w:rPr>
              <w:t>Suasa</w:t>
            </w:r>
            <w:r w:rsidRPr="001617A5">
              <w:rPr>
                <w:rFonts w:ascii="Times New Roman" w:hAnsi="Times New Roman"/>
                <w:noProof/>
                <w:sz w:val="16"/>
                <w:szCs w:val="16"/>
              </w:rPr>
              <w:t xml:space="preserve">, Monte Torto (Montironi 1991, p. 66, </w:t>
            </w:r>
            <w:r w:rsidRPr="001617A5">
              <w:rPr>
                <w:rFonts w:ascii="Times New Roman" w:hAnsi="Times New Roman"/>
                <w:sz w:val="16"/>
                <w:szCs w:val="16"/>
              </w:rPr>
              <w:t>2001a, pp. 61, 64, tav. III, 21, 22).</w:t>
            </w:r>
          </w:p>
        </w:tc>
      </w:tr>
      <w:tr w:rsidR="00C87719" w:rsidRPr="001617A5" w:rsidTr="00303D2A">
        <w:tc>
          <w:tcPr>
            <w:tcW w:w="675"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1682</w:t>
            </w:r>
          </w:p>
        </w:tc>
        <w:tc>
          <w:tcPr>
            <w:tcW w:w="851"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802/613</w:t>
            </w:r>
          </w:p>
        </w:tc>
        <w:tc>
          <w:tcPr>
            <w:tcW w:w="1027"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non id. (chiusa)</w:t>
            </w:r>
          </w:p>
        </w:tc>
        <w:tc>
          <w:tcPr>
            <w:tcW w:w="992"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Romano imperiale</w:t>
            </w:r>
          </w:p>
        </w:tc>
        <w:tc>
          <w:tcPr>
            <w:tcW w:w="2268"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C14 / ingobbio più scuro</w:t>
            </w:r>
          </w:p>
        </w:tc>
        <w:tc>
          <w:tcPr>
            <w:tcW w:w="1417" w:type="dxa"/>
            <w:shd w:val="clear" w:color="auto" w:fill="auto"/>
          </w:tcPr>
          <w:p w:rsidR="00C87719" w:rsidRPr="001617A5" w:rsidRDefault="00C87719" w:rsidP="00303D2A">
            <w:pPr>
              <w:rPr>
                <w:rFonts w:ascii="Times New Roman" w:hAnsi="Times New Roman"/>
                <w:b/>
                <w:sz w:val="16"/>
                <w:szCs w:val="16"/>
              </w:rPr>
            </w:pPr>
            <w:r w:rsidRPr="001617A5">
              <w:rPr>
                <w:rFonts w:ascii="Times New Roman" w:hAnsi="Times New Roman"/>
                <w:sz w:val="16"/>
                <w:szCs w:val="16"/>
              </w:rPr>
              <w:t>L05: a rotella a trattini verticali su fascie orizzontali molto ravvicinate</w:t>
            </w:r>
          </w:p>
        </w:tc>
        <w:tc>
          <w:tcPr>
            <w:tcW w:w="2694"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Decorazione Ricci 5</w:t>
            </w:r>
            <w:r w:rsidRPr="001617A5">
              <w:rPr>
                <w:rFonts w:ascii="Times New Roman" w:hAnsi="Times New Roman"/>
                <w:noProof/>
                <w:sz w:val="16"/>
                <w:szCs w:val="16"/>
              </w:rPr>
              <w:t xml:space="preserve">; da </w:t>
            </w:r>
            <w:r w:rsidRPr="001617A5">
              <w:rPr>
                <w:rFonts w:ascii="Times New Roman" w:hAnsi="Times New Roman"/>
                <w:sz w:val="16"/>
                <w:szCs w:val="16"/>
              </w:rPr>
              <w:t>Portorecanati (</w:t>
            </w:r>
            <w:r w:rsidRPr="001617A5">
              <w:rPr>
                <w:rFonts w:ascii="Times New Roman" w:hAnsi="Times New Roman"/>
                <w:noProof/>
                <w:sz w:val="16"/>
                <w:szCs w:val="16"/>
              </w:rPr>
              <w:t>Mercando 1979, pp. 211-212, 231, 233, fig. 126, a, fig. 145, f)</w:t>
            </w:r>
            <w:r w:rsidRPr="001617A5">
              <w:rPr>
                <w:rFonts w:ascii="Times New Roman" w:hAnsi="Times New Roman"/>
                <w:sz w:val="16"/>
                <w:szCs w:val="16"/>
              </w:rPr>
              <w:t>; da Castelfidardo (</w:t>
            </w:r>
            <w:r w:rsidRPr="001617A5">
              <w:rPr>
                <w:rFonts w:ascii="Times New Roman" w:hAnsi="Times New Roman"/>
                <w:noProof/>
                <w:sz w:val="16"/>
                <w:szCs w:val="16"/>
              </w:rPr>
              <w:t xml:space="preserve">Mercando 1979, pp. 141, 143, 157, fig. 54, u, v). </w:t>
            </w:r>
          </w:p>
        </w:tc>
      </w:tr>
      <w:tr w:rsidR="00C87719" w:rsidRPr="001617A5" w:rsidTr="00303D2A">
        <w:tc>
          <w:tcPr>
            <w:tcW w:w="675"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1768</w:t>
            </w:r>
          </w:p>
        </w:tc>
        <w:tc>
          <w:tcPr>
            <w:tcW w:w="851"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802/1320</w:t>
            </w:r>
          </w:p>
        </w:tc>
        <w:tc>
          <w:tcPr>
            <w:tcW w:w="1027"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coppa</w:t>
            </w:r>
          </w:p>
        </w:tc>
        <w:tc>
          <w:tcPr>
            <w:tcW w:w="992"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Romano</w:t>
            </w:r>
          </w:p>
        </w:tc>
        <w:tc>
          <w:tcPr>
            <w:tcW w:w="2268"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 xml:space="preserve">F16 </w:t>
            </w:r>
          </w:p>
        </w:tc>
        <w:tc>
          <w:tcPr>
            <w:tcW w:w="1417" w:type="dxa"/>
            <w:shd w:val="clear" w:color="auto" w:fill="auto"/>
          </w:tcPr>
          <w:p w:rsidR="00C87719" w:rsidRPr="001617A5" w:rsidRDefault="00C87719" w:rsidP="00303D2A">
            <w:pPr>
              <w:rPr>
                <w:rFonts w:ascii="Times New Roman" w:hAnsi="Times New Roman"/>
                <w:b/>
                <w:sz w:val="16"/>
                <w:szCs w:val="16"/>
              </w:rPr>
            </w:pPr>
            <w:r w:rsidRPr="001617A5">
              <w:rPr>
                <w:rFonts w:ascii="Times New Roman" w:hAnsi="Times New Roman"/>
                <w:sz w:val="16"/>
                <w:szCs w:val="16"/>
              </w:rPr>
              <w:t>L06: a rotella con trattini obliqui leggermente triangolari su file orizzontali ravvicinate</w:t>
            </w:r>
          </w:p>
        </w:tc>
        <w:tc>
          <w:tcPr>
            <w:tcW w:w="2694" w:type="dxa"/>
            <w:shd w:val="clear" w:color="auto" w:fill="auto"/>
          </w:tcPr>
          <w:p w:rsidR="00C87719" w:rsidRPr="001617A5" w:rsidRDefault="00C87719" w:rsidP="00303D2A">
            <w:pPr>
              <w:rPr>
                <w:rFonts w:ascii="Times New Roman" w:hAnsi="Times New Roman"/>
                <w:sz w:val="16"/>
                <w:szCs w:val="16"/>
              </w:rPr>
            </w:pPr>
            <w:r w:rsidRPr="001617A5">
              <w:rPr>
                <w:rFonts w:ascii="Times New Roman" w:hAnsi="Times New Roman"/>
                <w:sz w:val="16"/>
                <w:szCs w:val="16"/>
              </w:rPr>
              <w:t>da Monte Torto di Osimo  (</w:t>
            </w:r>
            <w:r w:rsidRPr="001617A5">
              <w:rPr>
                <w:rFonts w:ascii="Times New Roman" w:hAnsi="Times New Roman"/>
                <w:noProof/>
                <w:sz w:val="16"/>
                <w:szCs w:val="16"/>
              </w:rPr>
              <w:t>Montironi 2001a, p. 62-63, 65, tav. III, 29-30)</w:t>
            </w:r>
            <w:r w:rsidRPr="001617A5">
              <w:rPr>
                <w:rFonts w:ascii="Times New Roman" w:hAnsi="Times New Roman"/>
                <w:sz w:val="16"/>
                <w:szCs w:val="16"/>
              </w:rPr>
              <w:t xml:space="preserve">; </w:t>
            </w:r>
            <w:r w:rsidRPr="001617A5">
              <w:rPr>
                <w:rFonts w:ascii="Times New Roman" w:hAnsi="Times New Roman"/>
                <w:noProof/>
                <w:sz w:val="16"/>
                <w:szCs w:val="16"/>
              </w:rPr>
              <w:t>da</w:t>
            </w:r>
            <w:r w:rsidRPr="001617A5">
              <w:rPr>
                <w:rFonts w:ascii="Times New Roman" w:hAnsi="Times New Roman"/>
                <w:sz w:val="16"/>
                <w:szCs w:val="16"/>
              </w:rPr>
              <w:t xml:space="preserve"> Portorecanati </w:t>
            </w:r>
            <w:r w:rsidRPr="001617A5">
              <w:rPr>
                <w:rFonts w:ascii="Times New Roman" w:hAnsi="Times New Roman"/>
                <w:noProof/>
                <w:sz w:val="16"/>
                <w:szCs w:val="16"/>
              </w:rPr>
              <w:t xml:space="preserve">(Mercando 1974, p. 208, t. 27A, n. 6, fig. 84-85 b, p. 228, t. 44, figg. 109, 110, p. 277, t. 109, n. 3, fig. 174 b; </w:t>
            </w:r>
            <w:r w:rsidRPr="001617A5">
              <w:rPr>
                <w:rFonts w:ascii="Times New Roman" w:hAnsi="Times New Roman"/>
                <w:sz w:val="16"/>
                <w:szCs w:val="16"/>
              </w:rPr>
              <w:t xml:space="preserve"> da Castelfidardo </w:t>
            </w:r>
            <w:r w:rsidRPr="001617A5">
              <w:rPr>
                <w:rFonts w:ascii="Times New Roman" w:hAnsi="Times New Roman"/>
                <w:noProof/>
                <w:sz w:val="16"/>
                <w:szCs w:val="16"/>
              </w:rPr>
              <w:t xml:space="preserve">(Mercando 1979, p. 194, nn. 3, 5, figg. 113 a, d, 114, f, g, p. 196, n. 8, figg. 113 f, 114 b, p. 214, n. 11, figg. 126 m, 127 g, pp. 245, nn. 5-9, figg. 131 1-m, 156 o, p, u-z, p. 253, n. 1, fig. 162 h); da </w:t>
            </w:r>
            <w:r w:rsidRPr="001617A5">
              <w:rPr>
                <w:rFonts w:ascii="Times New Roman" w:hAnsi="Times New Roman"/>
                <w:i/>
                <w:noProof/>
                <w:sz w:val="16"/>
                <w:szCs w:val="16"/>
              </w:rPr>
              <w:t>Suasa</w:t>
            </w:r>
            <w:r w:rsidRPr="001617A5">
              <w:rPr>
                <w:rFonts w:ascii="Times New Roman" w:hAnsi="Times New Roman"/>
                <w:noProof/>
                <w:sz w:val="16"/>
                <w:szCs w:val="16"/>
              </w:rPr>
              <w:t xml:space="preserve"> (Montironi 2014: 238-239, fig. 18, 4, 14)</w:t>
            </w:r>
          </w:p>
        </w:tc>
      </w:tr>
    </w:tbl>
    <w:p w:rsidR="005C277F" w:rsidRDefault="00C87719">
      <w:bookmarkStart w:id="0" w:name="_GoBack"/>
      <w:bookmarkEnd w:id="0"/>
    </w:p>
    <w:sectPr w:rsidR="005C2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49"/>
    <w:rsid w:val="000B2E49"/>
    <w:rsid w:val="002040FE"/>
    <w:rsid w:val="00860F85"/>
    <w:rsid w:val="00C877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19"/>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19"/>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Ines</cp:lastModifiedBy>
  <cp:revision>2</cp:revision>
  <dcterms:created xsi:type="dcterms:W3CDTF">2015-05-18T16:36:00Z</dcterms:created>
  <dcterms:modified xsi:type="dcterms:W3CDTF">2015-05-18T16:36:00Z</dcterms:modified>
</cp:coreProperties>
</file>