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1B" w:rsidRPr="00403791" w:rsidRDefault="00037289" w:rsidP="003724E0">
      <w:pPr>
        <w:jc w:val="both"/>
      </w:pPr>
      <w:r w:rsidRPr="00403791">
        <w:rPr>
          <w:b/>
          <w:bCs/>
        </w:rPr>
        <w:t>Late Würm</w:t>
      </w:r>
      <w:r w:rsidR="00983A1B" w:rsidRPr="00403791">
        <w:rPr>
          <w:b/>
          <w:bCs/>
        </w:rPr>
        <w:t xml:space="preserve"> and </w:t>
      </w:r>
      <w:r w:rsidRPr="00403791">
        <w:rPr>
          <w:b/>
          <w:bCs/>
        </w:rPr>
        <w:t xml:space="preserve">Early-Middle </w:t>
      </w:r>
      <w:r w:rsidR="00983A1B" w:rsidRPr="00403791">
        <w:rPr>
          <w:b/>
          <w:bCs/>
        </w:rPr>
        <w:t>Holocene Environmental Change and Human Activities in the northern Apennines, Italy</w:t>
      </w:r>
    </w:p>
    <w:p w:rsidR="00983A1B" w:rsidRPr="00403791" w:rsidRDefault="00983A1B" w:rsidP="003724E0">
      <w:pPr>
        <w:pStyle w:val="Heading1"/>
        <w:rPr>
          <w:b w:val="0"/>
          <w:bCs w:val="0"/>
          <w:sz w:val="24"/>
        </w:rPr>
      </w:pPr>
    </w:p>
    <w:p w:rsidR="00983A1B" w:rsidRPr="00403791" w:rsidRDefault="00983A1B" w:rsidP="003724E0">
      <w:pPr>
        <w:pStyle w:val="Heading1"/>
        <w:rPr>
          <w:sz w:val="24"/>
        </w:rPr>
      </w:pPr>
      <w:r w:rsidRPr="00403791">
        <w:rPr>
          <w:sz w:val="24"/>
        </w:rPr>
        <w:t>Nicholas P. Branch</w:t>
      </w:r>
      <w:r w:rsidRPr="00403791">
        <w:rPr>
          <w:sz w:val="24"/>
          <w:vertAlign w:val="superscript"/>
        </w:rPr>
        <w:t>1</w:t>
      </w:r>
      <w:proofErr w:type="gramStart"/>
      <w:r w:rsidRPr="00403791">
        <w:rPr>
          <w:sz w:val="24"/>
          <w:vertAlign w:val="superscript"/>
        </w:rPr>
        <w:t>,2</w:t>
      </w:r>
      <w:proofErr w:type="gramEnd"/>
      <w:r w:rsidRPr="00403791">
        <w:rPr>
          <w:sz w:val="24"/>
          <w:vertAlign w:val="superscript"/>
        </w:rPr>
        <w:t xml:space="preserve"> </w:t>
      </w:r>
      <w:r w:rsidRPr="00403791">
        <w:rPr>
          <w:sz w:val="24"/>
        </w:rPr>
        <w:t>and Lionello Morandi</w:t>
      </w:r>
      <w:r w:rsidRPr="00403791">
        <w:rPr>
          <w:sz w:val="24"/>
          <w:vertAlign w:val="superscript"/>
        </w:rPr>
        <w:t>2</w:t>
      </w:r>
    </w:p>
    <w:p w:rsidR="00983A1B" w:rsidRPr="00403791" w:rsidRDefault="00983A1B" w:rsidP="003724E0">
      <w:pPr>
        <w:jc w:val="both"/>
        <w:rPr>
          <w:iCs/>
        </w:rPr>
      </w:pPr>
      <w:r w:rsidRPr="00403791">
        <w:rPr>
          <w:iCs/>
        </w:rPr>
        <w:t>Department of Geography and Environmental Science</w:t>
      </w:r>
      <w:r w:rsidRPr="00403791">
        <w:rPr>
          <w:iCs/>
          <w:vertAlign w:val="superscript"/>
        </w:rPr>
        <w:t>1</w:t>
      </w:r>
      <w:r w:rsidRPr="00403791">
        <w:rPr>
          <w:iCs/>
        </w:rPr>
        <w:t>, and Department of Archaeology</w:t>
      </w:r>
      <w:r w:rsidRPr="00403791">
        <w:rPr>
          <w:iCs/>
          <w:vertAlign w:val="superscript"/>
        </w:rPr>
        <w:t>2</w:t>
      </w:r>
      <w:r w:rsidRPr="00403791">
        <w:rPr>
          <w:iCs/>
        </w:rPr>
        <w:t>, School of Human and Environmental Sciences, University of Reading, Whiteknights, Reading, RG6 6AB, UK</w:t>
      </w:r>
    </w:p>
    <w:p w:rsidR="00983A1B" w:rsidRPr="00403791" w:rsidRDefault="00983A1B" w:rsidP="003724E0">
      <w:pPr>
        <w:jc w:val="both"/>
        <w:rPr>
          <w:iCs/>
        </w:rPr>
      </w:pPr>
      <w:r w:rsidRPr="00403791">
        <w:rPr>
          <w:iCs/>
        </w:rPr>
        <w:t>Tel: 0044 (0) 118 378 7766</w:t>
      </w:r>
    </w:p>
    <w:p w:rsidR="00983A1B" w:rsidRPr="00403791" w:rsidRDefault="00983A1B" w:rsidP="003724E0">
      <w:pPr>
        <w:jc w:val="both"/>
        <w:rPr>
          <w:iCs/>
        </w:rPr>
      </w:pPr>
      <w:r w:rsidRPr="00403791">
        <w:rPr>
          <w:iCs/>
        </w:rPr>
        <w:t>Fax: 0044 (0) 118 931 0279</w:t>
      </w:r>
    </w:p>
    <w:p w:rsidR="00983A1B" w:rsidRPr="00403791" w:rsidRDefault="00983A1B" w:rsidP="003724E0">
      <w:pPr>
        <w:jc w:val="both"/>
        <w:rPr>
          <w:iCs/>
        </w:rPr>
      </w:pPr>
      <w:r w:rsidRPr="00403791">
        <w:rPr>
          <w:iCs/>
        </w:rPr>
        <w:t xml:space="preserve">Corresponding author: </w:t>
      </w:r>
      <w:hyperlink r:id="rId9" w:history="1">
        <w:r w:rsidRPr="00403791">
          <w:rPr>
            <w:rStyle w:val="Hyperlink"/>
            <w:iCs/>
          </w:rPr>
          <w:t>n.p.branch@reading.ac.uk</w:t>
        </w:r>
      </w:hyperlink>
    </w:p>
    <w:p w:rsidR="00983A1B" w:rsidRPr="00403791" w:rsidRDefault="00983A1B" w:rsidP="003724E0"/>
    <w:p w:rsidR="00836172" w:rsidRDefault="00C55F24" w:rsidP="003724E0">
      <w:pPr>
        <w:jc w:val="both"/>
        <w:rPr>
          <w:b/>
        </w:rPr>
      </w:pPr>
      <w:r>
        <w:rPr>
          <w:b/>
        </w:rPr>
        <w:t>Summary</w:t>
      </w:r>
    </w:p>
    <w:p w:rsidR="005635DC" w:rsidRDefault="00847EBA" w:rsidP="003724E0">
      <w:pPr>
        <w:jc w:val="both"/>
      </w:pPr>
      <w:r>
        <w:t>An enhanced radiocarbon-dated pollen-stratigraphical record from Rovegno (Liguria), northern Apennines (Italy), has provided a history of vegetation succession from before</w:t>
      </w:r>
      <w:r w:rsidRPr="00403791">
        <w:t xml:space="preserve"> 17,056-16,621 cal yrs BP</w:t>
      </w:r>
      <w:r>
        <w:t xml:space="preserve"> to the present day.</w:t>
      </w:r>
      <w:r w:rsidR="005635DC">
        <w:t xml:space="preserve"> </w:t>
      </w:r>
      <w:r w:rsidRPr="00403791">
        <w:t xml:space="preserve">The </w:t>
      </w:r>
      <w:r>
        <w:t xml:space="preserve">record indicates the transition from </w:t>
      </w:r>
      <w:r w:rsidRPr="00403791">
        <w:t xml:space="preserve">open </w:t>
      </w:r>
      <w:r w:rsidRPr="00403791">
        <w:rPr>
          <w:i/>
        </w:rPr>
        <w:t>Pinus</w:t>
      </w:r>
      <w:r w:rsidRPr="00403791">
        <w:t xml:space="preserve"> </w:t>
      </w:r>
      <w:r w:rsidR="00C0539B">
        <w:t xml:space="preserve">woodland </w:t>
      </w:r>
      <w:r w:rsidRPr="00403791">
        <w:t xml:space="preserve">to </w:t>
      </w:r>
      <w:r w:rsidRPr="00403791">
        <w:rPr>
          <w:i/>
        </w:rPr>
        <w:t>Artemisia</w:t>
      </w:r>
      <w:r w:rsidR="005635DC">
        <w:t xml:space="preserve"> dominated grassland</w:t>
      </w:r>
      <w:r w:rsidRPr="00403791">
        <w:t xml:space="preserve">, and finally </w:t>
      </w:r>
      <w:r w:rsidRPr="00403791">
        <w:rPr>
          <w:i/>
        </w:rPr>
        <w:t>Juniperus</w:t>
      </w:r>
      <w:r w:rsidR="005635DC">
        <w:t xml:space="preserve"> shrubland during the </w:t>
      </w:r>
      <w:r w:rsidR="005635DC" w:rsidRPr="00403791">
        <w:t>late Würm</w:t>
      </w:r>
      <w:r w:rsidR="005635DC">
        <w:t xml:space="preserve">. This </w:t>
      </w:r>
      <w:r w:rsidR="005635DC" w:rsidRPr="00403791">
        <w:t xml:space="preserve">is succeeded by </w:t>
      </w:r>
      <w:r w:rsidR="005635DC" w:rsidRPr="00403791">
        <w:rPr>
          <w:i/>
        </w:rPr>
        <w:t>Betula</w:t>
      </w:r>
      <w:r w:rsidR="005635DC" w:rsidRPr="00403791">
        <w:t xml:space="preserve"> and </w:t>
      </w:r>
      <w:r w:rsidR="005635DC" w:rsidRPr="00403791">
        <w:rPr>
          <w:i/>
        </w:rPr>
        <w:t>Pinus</w:t>
      </w:r>
      <w:r w:rsidR="005635DC" w:rsidRPr="00403791">
        <w:t xml:space="preserve"> woodland, and the expansion of thermophilous taxa, namely </w:t>
      </w:r>
      <w:r w:rsidR="005635DC" w:rsidRPr="00403791">
        <w:rPr>
          <w:i/>
        </w:rPr>
        <w:t>Abies</w:t>
      </w:r>
      <w:r w:rsidR="005635DC" w:rsidRPr="00403791">
        <w:t xml:space="preserve">, </w:t>
      </w:r>
      <w:r w:rsidR="005635DC" w:rsidRPr="00403791">
        <w:rPr>
          <w:i/>
        </w:rPr>
        <w:t>Corylus</w:t>
      </w:r>
      <w:r w:rsidR="005635DC" w:rsidRPr="00403791">
        <w:t xml:space="preserve"> and </w:t>
      </w:r>
      <w:r w:rsidR="005635DC" w:rsidRPr="00403791">
        <w:rPr>
          <w:i/>
        </w:rPr>
        <w:t>Quercus</w:t>
      </w:r>
      <w:r w:rsidR="005635DC">
        <w:t xml:space="preserve"> during the </w:t>
      </w:r>
      <w:r w:rsidR="005635DC" w:rsidRPr="00403791">
        <w:t xml:space="preserve">Late Würm Lateglacial Interstadial. </w:t>
      </w:r>
      <w:r w:rsidR="005635DC">
        <w:t>The ‘</w:t>
      </w:r>
      <w:r w:rsidR="005635DC" w:rsidRPr="00403791">
        <w:t>Younger Dryas’</w:t>
      </w:r>
      <w:r w:rsidR="005635DC">
        <w:t xml:space="preserve"> is possibly represented by an increase in</w:t>
      </w:r>
      <w:r w:rsidR="005635DC" w:rsidRPr="00403791">
        <w:t xml:space="preserve"> </w:t>
      </w:r>
      <w:r w:rsidR="005635DC" w:rsidRPr="00403791">
        <w:rPr>
          <w:i/>
        </w:rPr>
        <w:t xml:space="preserve">Betula </w:t>
      </w:r>
      <w:r w:rsidR="005635DC" w:rsidRPr="00403791">
        <w:t xml:space="preserve">and </w:t>
      </w:r>
      <w:r w:rsidR="005635DC" w:rsidRPr="00403791">
        <w:rPr>
          <w:i/>
        </w:rPr>
        <w:t>Artemisia</w:t>
      </w:r>
      <w:r w:rsidR="005635DC">
        <w:t xml:space="preserve">. During the Early Holocene, </w:t>
      </w:r>
      <w:r w:rsidR="005635DC" w:rsidRPr="00403791">
        <w:t xml:space="preserve">mixed </w:t>
      </w:r>
      <w:r w:rsidR="005635DC">
        <w:t>coniferous-</w:t>
      </w:r>
      <w:r w:rsidR="005635DC" w:rsidRPr="00403791">
        <w:t xml:space="preserve">deciduous woodland </w:t>
      </w:r>
      <w:r w:rsidR="005635DC">
        <w:t>is dominant with</w:t>
      </w:r>
      <w:r w:rsidR="005635DC" w:rsidRPr="00403791">
        <w:t xml:space="preserve"> </w:t>
      </w:r>
      <w:r w:rsidR="005635DC">
        <w:rPr>
          <w:i/>
        </w:rPr>
        <w:t xml:space="preserve">Quercus, </w:t>
      </w:r>
      <w:r w:rsidR="005635DC" w:rsidRPr="005635DC">
        <w:t>as well as</w:t>
      </w:r>
      <w:r w:rsidR="005635DC">
        <w:rPr>
          <w:i/>
        </w:rPr>
        <w:t xml:space="preserve"> </w:t>
      </w:r>
      <w:r w:rsidR="005635DC" w:rsidRPr="00403791">
        <w:rPr>
          <w:i/>
        </w:rPr>
        <w:t>Abies</w:t>
      </w:r>
      <w:r w:rsidR="005635DC" w:rsidRPr="00403791">
        <w:t xml:space="preserve">, </w:t>
      </w:r>
      <w:r w:rsidR="005635DC" w:rsidRPr="00403791">
        <w:rPr>
          <w:i/>
        </w:rPr>
        <w:t xml:space="preserve">Fagus </w:t>
      </w:r>
      <w:r w:rsidR="005635DC" w:rsidRPr="00403791">
        <w:t>and</w:t>
      </w:r>
      <w:r w:rsidR="005635DC" w:rsidRPr="00403791">
        <w:rPr>
          <w:i/>
        </w:rPr>
        <w:t xml:space="preserve"> Corylus</w:t>
      </w:r>
      <w:r w:rsidR="005635DC" w:rsidRPr="00403791">
        <w:t xml:space="preserve">. </w:t>
      </w:r>
      <w:r w:rsidR="005635DC" w:rsidRPr="00403791">
        <w:rPr>
          <w:i/>
        </w:rPr>
        <w:t>Fagus</w:t>
      </w:r>
      <w:r w:rsidR="005635DC" w:rsidRPr="00403791">
        <w:t xml:space="preserve"> woodland becomes established sometime before 6488-6318 cal yrs BP, but never becomes a major component of the woodland cover. Throughout the </w:t>
      </w:r>
      <w:r w:rsidR="005635DC">
        <w:t xml:space="preserve">Middle </w:t>
      </w:r>
      <w:r w:rsidR="005635DC" w:rsidRPr="00403791">
        <w:t xml:space="preserve">Holocene, </w:t>
      </w:r>
      <w:r w:rsidR="005635DC" w:rsidRPr="00403791">
        <w:rPr>
          <w:i/>
        </w:rPr>
        <w:t>Abies</w:t>
      </w:r>
      <w:r w:rsidR="005635DC" w:rsidRPr="00403791">
        <w:t xml:space="preserve"> woodland fluctuates, with marked declines between 6488-6318 cal yrs BP and 5287-4835 cal yrs BP,</w:t>
      </w:r>
      <w:r w:rsidR="005635DC">
        <w:t xml:space="preserve"> although the cause remains uncertain. Finally,</w:t>
      </w:r>
      <w:r w:rsidR="00C0539B">
        <w:t xml:space="preserve"> the paper evaluates the application of non-pollen palynomorphs, especially coprophilous fungal spores, at Prato Spilla ‘A’ (Emilia Romagna) and concludes that </w:t>
      </w:r>
      <w:r w:rsidR="00C0539B" w:rsidRPr="00403791">
        <w:t xml:space="preserve">greater caution </w:t>
      </w:r>
      <w:proofErr w:type="gramStart"/>
      <w:r w:rsidR="00C0539B" w:rsidRPr="00403791">
        <w:t>must be used</w:t>
      </w:r>
      <w:proofErr w:type="gramEnd"/>
      <w:r w:rsidR="00C0539B" w:rsidRPr="00403791">
        <w:t xml:space="preserve"> when interpreting </w:t>
      </w:r>
      <w:r w:rsidR="00C0539B">
        <w:t xml:space="preserve">Middle Holocene </w:t>
      </w:r>
      <w:r w:rsidR="00C0539B" w:rsidRPr="00403791">
        <w:t>human activity based upon pollen data alone</w:t>
      </w:r>
      <w:r w:rsidR="00C0539B">
        <w:t>.</w:t>
      </w:r>
    </w:p>
    <w:p w:rsidR="00836172" w:rsidRPr="00A53CFF" w:rsidRDefault="005635DC" w:rsidP="003724E0">
      <w:pPr>
        <w:jc w:val="both"/>
      </w:pPr>
      <w:r>
        <w:t xml:space="preserve"> </w:t>
      </w:r>
    </w:p>
    <w:p w:rsidR="00836172" w:rsidRPr="00836172" w:rsidRDefault="00836172" w:rsidP="003724E0">
      <w:pPr>
        <w:jc w:val="both"/>
      </w:pPr>
      <w:r>
        <w:rPr>
          <w:b/>
        </w:rPr>
        <w:t xml:space="preserve">Keywords: </w:t>
      </w:r>
      <w:r w:rsidR="000171FB">
        <w:rPr>
          <w:b/>
        </w:rPr>
        <w:t>Pollen, Vegetation, Climate, Archaeology, Apennines</w:t>
      </w:r>
    </w:p>
    <w:p w:rsidR="00836172" w:rsidRDefault="00836172" w:rsidP="003724E0">
      <w:pPr>
        <w:jc w:val="both"/>
        <w:rPr>
          <w:b/>
        </w:rPr>
      </w:pPr>
    </w:p>
    <w:p w:rsidR="00A53CFF" w:rsidRDefault="00A53CFF"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A53CFF" w:rsidRDefault="00A53CFF" w:rsidP="003724E0">
      <w:pPr>
        <w:jc w:val="both"/>
        <w:rPr>
          <w:b/>
        </w:rPr>
      </w:pPr>
    </w:p>
    <w:p w:rsidR="00A53CFF" w:rsidRDefault="00A53CFF" w:rsidP="003724E0">
      <w:pPr>
        <w:jc w:val="both"/>
        <w:rPr>
          <w:b/>
        </w:rPr>
      </w:pPr>
    </w:p>
    <w:p w:rsidR="00C55F24" w:rsidRDefault="00C55F24" w:rsidP="003724E0">
      <w:pPr>
        <w:jc w:val="both"/>
        <w:rPr>
          <w:b/>
          <w:lang w:val="it-IT"/>
        </w:rPr>
      </w:pPr>
      <w:r>
        <w:rPr>
          <w:b/>
          <w:lang w:val="it-IT"/>
        </w:rPr>
        <w:lastRenderedPageBreak/>
        <w:t>Riassunto</w:t>
      </w:r>
    </w:p>
    <w:p w:rsidR="00C55F24" w:rsidRDefault="00C55F24" w:rsidP="003724E0">
      <w:pPr>
        <w:jc w:val="both"/>
        <w:rPr>
          <w:lang w:val="it-IT"/>
        </w:rPr>
      </w:pPr>
      <w:r>
        <w:rPr>
          <w:lang w:val="it-IT"/>
        </w:rPr>
        <w:t xml:space="preserve">Una migliore risoluzione cronologica basata su date radiocarboniche per una sequenza pollinica da Rovegno (Appennino settentrionale ligure, Italia), ha permesso di ricostruire i cambiamenti vegetazionali per un periodo compreso da </w:t>
      </w:r>
      <w:r w:rsidR="00314945">
        <w:rPr>
          <w:lang w:val="it-IT"/>
        </w:rPr>
        <w:t>prima di 17,056-16,621 anni cal</w:t>
      </w:r>
      <w:r>
        <w:rPr>
          <w:lang w:val="it-IT"/>
        </w:rPr>
        <w:t xml:space="preserve"> BP ad oggi. La sequenza mostra il passaggio da un bosco a </w:t>
      </w:r>
      <w:r>
        <w:rPr>
          <w:i/>
          <w:lang w:val="it-IT"/>
        </w:rPr>
        <w:t>Pinus</w:t>
      </w:r>
      <w:r>
        <w:rPr>
          <w:lang w:val="it-IT"/>
        </w:rPr>
        <w:t xml:space="preserve"> con struttura aperta ad una prateria dominata da </w:t>
      </w:r>
      <w:r>
        <w:rPr>
          <w:i/>
          <w:lang w:val="it-IT"/>
        </w:rPr>
        <w:t>Artemisia</w:t>
      </w:r>
      <w:r>
        <w:rPr>
          <w:lang w:val="it-IT"/>
        </w:rPr>
        <w:t xml:space="preserve">, ed infine un arbusteto a </w:t>
      </w:r>
      <w:r>
        <w:rPr>
          <w:i/>
          <w:lang w:val="it-IT"/>
        </w:rPr>
        <w:t>Juniperus</w:t>
      </w:r>
      <w:r>
        <w:rPr>
          <w:lang w:val="it-IT"/>
        </w:rPr>
        <w:t xml:space="preserve"> nel tardo Würm. Successivamente si sviluppa un bosco a </w:t>
      </w:r>
      <w:r>
        <w:rPr>
          <w:i/>
          <w:lang w:val="it-IT"/>
        </w:rPr>
        <w:t>Pinus</w:t>
      </w:r>
      <w:r>
        <w:rPr>
          <w:lang w:val="it-IT"/>
        </w:rPr>
        <w:t xml:space="preserve"> e </w:t>
      </w:r>
      <w:r>
        <w:rPr>
          <w:i/>
          <w:lang w:val="it-IT"/>
        </w:rPr>
        <w:t>Betula</w:t>
      </w:r>
      <w:r>
        <w:rPr>
          <w:lang w:val="it-IT"/>
        </w:rPr>
        <w:t xml:space="preserve">, e verso la fine dell’ultimo interstadiale würmiano ha luogo l’espansione di taxa termofili quali </w:t>
      </w:r>
      <w:r>
        <w:rPr>
          <w:i/>
          <w:lang w:val="it-IT"/>
        </w:rPr>
        <w:t>Abies</w:t>
      </w:r>
      <w:r>
        <w:rPr>
          <w:lang w:val="it-IT"/>
        </w:rPr>
        <w:t xml:space="preserve">, </w:t>
      </w:r>
      <w:r>
        <w:rPr>
          <w:i/>
          <w:lang w:val="it-IT"/>
        </w:rPr>
        <w:t>Corylus</w:t>
      </w:r>
      <w:r>
        <w:rPr>
          <w:lang w:val="it-IT"/>
        </w:rPr>
        <w:t xml:space="preserve"> e </w:t>
      </w:r>
      <w:r>
        <w:rPr>
          <w:i/>
          <w:lang w:val="it-IT"/>
        </w:rPr>
        <w:t>Quercus</w:t>
      </w:r>
      <w:r>
        <w:rPr>
          <w:lang w:val="it-IT"/>
        </w:rPr>
        <w:t xml:space="preserve">. Il ‘Dryas recente’ è forse rappresentato da un aumento in </w:t>
      </w:r>
      <w:r>
        <w:rPr>
          <w:i/>
          <w:lang w:val="it-IT"/>
        </w:rPr>
        <w:t>Betula</w:t>
      </w:r>
      <w:r>
        <w:rPr>
          <w:lang w:val="it-IT"/>
        </w:rPr>
        <w:t xml:space="preserve"> e </w:t>
      </w:r>
      <w:r>
        <w:rPr>
          <w:i/>
          <w:lang w:val="it-IT"/>
        </w:rPr>
        <w:t>Artemisia</w:t>
      </w:r>
      <w:r>
        <w:rPr>
          <w:lang w:val="it-IT"/>
        </w:rPr>
        <w:t xml:space="preserve">. Durante l’Olocene antico prevale il bosco misto a conifere e latifoglie decidue con presenza di </w:t>
      </w:r>
      <w:r>
        <w:rPr>
          <w:i/>
          <w:lang w:val="it-IT"/>
        </w:rPr>
        <w:t>Quercus</w:t>
      </w:r>
      <w:r>
        <w:rPr>
          <w:lang w:val="it-IT"/>
        </w:rPr>
        <w:t xml:space="preserve">, oltre che </w:t>
      </w:r>
      <w:r>
        <w:rPr>
          <w:i/>
          <w:lang w:val="it-IT"/>
        </w:rPr>
        <w:t>Abies</w:t>
      </w:r>
      <w:r>
        <w:rPr>
          <w:lang w:val="it-IT"/>
        </w:rPr>
        <w:t xml:space="preserve">, </w:t>
      </w:r>
      <w:r>
        <w:rPr>
          <w:i/>
          <w:lang w:val="it-IT"/>
        </w:rPr>
        <w:t>Fagus</w:t>
      </w:r>
      <w:r>
        <w:rPr>
          <w:lang w:val="it-IT"/>
        </w:rPr>
        <w:t xml:space="preserve"> e </w:t>
      </w:r>
      <w:r>
        <w:rPr>
          <w:i/>
          <w:lang w:val="it-IT"/>
        </w:rPr>
        <w:t>Corylus</w:t>
      </w:r>
      <w:r>
        <w:rPr>
          <w:lang w:val="it-IT"/>
        </w:rPr>
        <w:t xml:space="preserve">. La faggeta appare stabilirsi poco prima di 6488-6318 anni cal BP, senza tuttavia mai divenire una componente principale della copertura forestale. Nel corso dell’intero medio Olocene si verificano oscillazioni nelle percentuali del bosco ad </w:t>
      </w:r>
      <w:r>
        <w:rPr>
          <w:i/>
          <w:lang w:val="it-IT"/>
        </w:rPr>
        <w:t>Abies</w:t>
      </w:r>
      <w:r>
        <w:rPr>
          <w:lang w:val="it-IT"/>
        </w:rPr>
        <w:t>, con cali decisi tra 6488-6318 anni cal BP e 5287-4835 anni cal BP, sebbene per cause ancora da chiarire. Infine, l’articolo si sofferma sull’applicazione dei palinomorfi non pollinici, in particolare spore di funghi coprofili, al sito di Prato Spilla ‘A’ (Emilia Romagna), sottolineando come, quando ci si basi unicamente su dati pollinici, sia necessario adoperare grande cautela nella interpretazione di attività antropiche medio oloceniche.</w:t>
      </w:r>
    </w:p>
    <w:p w:rsidR="00C55F24" w:rsidRDefault="00C55F24" w:rsidP="003724E0">
      <w:pPr>
        <w:jc w:val="both"/>
        <w:rPr>
          <w:b/>
          <w:lang w:val="it-IT"/>
        </w:rPr>
      </w:pPr>
    </w:p>
    <w:p w:rsidR="00C55F24" w:rsidRDefault="00C55F24" w:rsidP="003724E0">
      <w:pPr>
        <w:jc w:val="both"/>
        <w:rPr>
          <w:b/>
          <w:lang w:val="it-IT"/>
        </w:rPr>
      </w:pPr>
      <w:r>
        <w:rPr>
          <w:b/>
          <w:lang w:val="it-IT"/>
        </w:rPr>
        <w:t>Parole chiave: Polline, Vegetazione, Clima, Archeologia, Appennini</w:t>
      </w: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AD12D9" w:rsidRDefault="00AD12D9"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3724E0" w:rsidRDefault="003724E0" w:rsidP="003724E0">
      <w:pPr>
        <w:jc w:val="both"/>
        <w:rPr>
          <w:b/>
        </w:rPr>
      </w:pPr>
    </w:p>
    <w:p w:rsidR="00E7445F" w:rsidRDefault="00E7445F" w:rsidP="003724E0">
      <w:pPr>
        <w:jc w:val="both"/>
        <w:rPr>
          <w:b/>
        </w:rPr>
      </w:pPr>
    </w:p>
    <w:p w:rsidR="00E7445F" w:rsidRDefault="00E7445F" w:rsidP="003724E0">
      <w:pPr>
        <w:jc w:val="both"/>
        <w:rPr>
          <w:b/>
        </w:rPr>
      </w:pPr>
    </w:p>
    <w:p w:rsidR="00E7445F" w:rsidRDefault="00E7445F" w:rsidP="003724E0">
      <w:pPr>
        <w:jc w:val="both"/>
        <w:rPr>
          <w:b/>
        </w:rPr>
      </w:pPr>
    </w:p>
    <w:p w:rsidR="00836172" w:rsidRDefault="00B74955" w:rsidP="003724E0">
      <w:pPr>
        <w:jc w:val="both"/>
        <w:rPr>
          <w:b/>
        </w:rPr>
      </w:pPr>
      <w:r>
        <w:rPr>
          <w:b/>
        </w:rPr>
        <w:lastRenderedPageBreak/>
        <w:t>Long abstract</w:t>
      </w:r>
    </w:p>
    <w:p w:rsidR="005E36FE" w:rsidRDefault="00F852F4" w:rsidP="003724E0">
      <w:pPr>
        <w:jc w:val="both"/>
      </w:pPr>
      <w:r w:rsidRPr="00403791">
        <w:t>Palaeoecological studies in the northern Apennines (embracing the regions of Liguria, and parts of Tu</w:t>
      </w:r>
      <w:r>
        <w:t>scany and Emilia-Romagna</w:t>
      </w:r>
      <w:r w:rsidRPr="00403791">
        <w:t xml:space="preserve">) have enabled reconstruction of the main patterns of environmental change from Late Würm Late Glacial to the </w:t>
      </w:r>
      <w:r>
        <w:t xml:space="preserve">end of the </w:t>
      </w:r>
      <w:r w:rsidRPr="00403791">
        <w:t xml:space="preserve">Middle </w:t>
      </w:r>
      <w:r w:rsidR="00644D60">
        <w:t xml:space="preserve">Holocene. </w:t>
      </w:r>
      <w:r w:rsidR="00644D60" w:rsidRPr="00403791">
        <w:t>The data generated by the pal</w:t>
      </w:r>
      <w:r w:rsidR="00644D60">
        <w:t>aeoecological study of Rovegno</w:t>
      </w:r>
      <w:r w:rsidR="00644D60" w:rsidRPr="00403791">
        <w:t xml:space="preserve"> </w:t>
      </w:r>
      <w:r w:rsidR="00644D60">
        <w:t xml:space="preserve">(Liguria) </w:t>
      </w:r>
      <w:r w:rsidR="00644D60" w:rsidRPr="00403791">
        <w:t>indicates that prior to 1</w:t>
      </w:r>
      <w:r w:rsidR="00644D60">
        <w:t xml:space="preserve">7,056-16,621 cal yrs BP </w:t>
      </w:r>
      <w:r w:rsidR="00644D60" w:rsidRPr="00403791">
        <w:t xml:space="preserve">until </w:t>
      </w:r>
      <w:r w:rsidR="00644D60">
        <w:t>15,099-14,501 cal yrs BP</w:t>
      </w:r>
      <w:r w:rsidR="00644D60" w:rsidRPr="00403791">
        <w:t xml:space="preserve"> sediment was deposited in a freshwater lake and sedge-swamp </w:t>
      </w:r>
      <w:r w:rsidR="00644D60">
        <w:t xml:space="preserve">with dryland vegetation </w:t>
      </w:r>
      <w:r w:rsidR="00644D60" w:rsidRPr="00403791">
        <w:t xml:space="preserve">characterised by open </w:t>
      </w:r>
      <w:r w:rsidR="00644D60" w:rsidRPr="00403791">
        <w:rPr>
          <w:i/>
        </w:rPr>
        <w:t>Pinus</w:t>
      </w:r>
      <w:r w:rsidR="00644D60">
        <w:t xml:space="preserve"> woodland,</w:t>
      </w:r>
      <w:r w:rsidR="00644D60" w:rsidRPr="00403791">
        <w:t xml:space="preserve"> </w:t>
      </w:r>
      <w:r w:rsidR="00644D60" w:rsidRPr="00403791">
        <w:rPr>
          <w:i/>
        </w:rPr>
        <w:t>Artemisia</w:t>
      </w:r>
      <w:r w:rsidR="00644D60">
        <w:t xml:space="preserve"> dominated grassland, </w:t>
      </w:r>
      <w:r w:rsidR="00644D60" w:rsidRPr="00403791">
        <w:rPr>
          <w:i/>
        </w:rPr>
        <w:t>Juniperus</w:t>
      </w:r>
      <w:r w:rsidR="00644D60">
        <w:t xml:space="preserve"> shrubland within an </w:t>
      </w:r>
      <w:r w:rsidR="00644D60" w:rsidRPr="00403791">
        <w:t>arctic-tund</w:t>
      </w:r>
      <w:r w:rsidR="00644D60">
        <w:t xml:space="preserve">ra, steppe or semi-desert environment </w:t>
      </w:r>
      <w:r w:rsidR="00644D60" w:rsidRPr="00403791">
        <w:t>during the late Würm glaciation.</w:t>
      </w:r>
      <w:r w:rsidR="00084CE8">
        <w:t xml:space="preserve"> </w:t>
      </w:r>
      <w:r w:rsidR="00084CE8" w:rsidRPr="00403791">
        <w:t xml:space="preserve">The presence of </w:t>
      </w:r>
      <w:r w:rsidR="00084CE8" w:rsidRPr="00403791">
        <w:rPr>
          <w:i/>
        </w:rPr>
        <w:t>Pinus</w:t>
      </w:r>
      <w:r w:rsidR="00084CE8" w:rsidRPr="00403791">
        <w:t xml:space="preserve"> woodland prior to 17,056-16,621 cal yrs BP at Rovegno is particularly interesting and suggests the onset of ‘warmer’ climatic conditions following the last glacial maximum. In contrast, the decline of </w:t>
      </w:r>
      <w:r w:rsidR="00084CE8" w:rsidRPr="00403791">
        <w:rPr>
          <w:i/>
        </w:rPr>
        <w:t xml:space="preserve">Pinus </w:t>
      </w:r>
      <w:r w:rsidR="00084CE8" w:rsidRPr="00403791">
        <w:t>at approximately 17,056-16,621 cal yrs BP suggests the renewal of colder conditions, and may be provisionally equated with the North Atlantic Heinrich 1 (</w:t>
      </w:r>
      <w:r w:rsidR="00084CE8">
        <w:t xml:space="preserve">H1) rapid climate change event. </w:t>
      </w:r>
      <w:r w:rsidR="00644D60">
        <w:t>F</w:t>
      </w:r>
      <w:r w:rsidR="00644D60" w:rsidRPr="00403791">
        <w:t>rom 15,099-14,501 cal yrs BP to the onset of the Holocene at ~</w:t>
      </w:r>
      <w:r w:rsidR="00644D60">
        <w:t xml:space="preserve">11,700 cal yrs BP was characterised by the </w:t>
      </w:r>
      <w:r w:rsidR="00644D60" w:rsidRPr="00403791">
        <w:t>establishment of</w:t>
      </w:r>
      <w:r w:rsidR="00644D60">
        <w:t xml:space="preserve"> </w:t>
      </w:r>
      <w:r w:rsidR="00644D60" w:rsidRPr="00403791">
        <w:rPr>
          <w:i/>
        </w:rPr>
        <w:t>Betula</w:t>
      </w:r>
      <w:r w:rsidR="00644D60" w:rsidRPr="00403791">
        <w:t xml:space="preserve"> and </w:t>
      </w:r>
      <w:r w:rsidR="00644D60" w:rsidRPr="00403791">
        <w:rPr>
          <w:i/>
        </w:rPr>
        <w:t>Pinus</w:t>
      </w:r>
      <w:r w:rsidR="00644D60" w:rsidRPr="00403791">
        <w:t xml:space="preserve"> woodland, and the expansion of thermophilous taxa, namely </w:t>
      </w:r>
      <w:r w:rsidR="00644D60" w:rsidRPr="00403791">
        <w:rPr>
          <w:i/>
        </w:rPr>
        <w:t>Abies</w:t>
      </w:r>
      <w:r w:rsidR="00644D60" w:rsidRPr="00403791">
        <w:t xml:space="preserve">, </w:t>
      </w:r>
      <w:r w:rsidR="00644D60" w:rsidRPr="00403791">
        <w:rPr>
          <w:i/>
        </w:rPr>
        <w:t>Corylus</w:t>
      </w:r>
      <w:r w:rsidR="00644D60" w:rsidRPr="00403791">
        <w:t xml:space="preserve"> and </w:t>
      </w:r>
      <w:r w:rsidR="00644D60" w:rsidRPr="00403791">
        <w:rPr>
          <w:i/>
        </w:rPr>
        <w:t>Quercus</w:t>
      </w:r>
      <w:r w:rsidR="002F6D60">
        <w:rPr>
          <w:i/>
        </w:rPr>
        <w:t xml:space="preserve">, </w:t>
      </w:r>
      <w:r w:rsidR="002F6D60">
        <w:t xml:space="preserve">during the </w:t>
      </w:r>
      <w:r w:rsidR="002F6D60" w:rsidRPr="00403791">
        <w:t>Late Würm Lateglacial Interstadial</w:t>
      </w:r>
      <w:r w:rsidR="00084CE8">
        <w:t>.</w:t>
      </w:r>
      <w:r w:rsidR="002F6D60">
        <w:t xml:space="preserve"> </w:t>
      </w:r>
      <w:r w:rsidR="002F6D60" w:rsidRPr="00403791">
        <w:t xml:space="preserve">The paucity of </w:t>
      </w:r>
      <w:r w:rsidR="002F6D60" w:rsidRPr="00403791">
        <w:rPr>
          <w:i/>
        </w:rPr>
        <w:t>Abies</w:t>
      </w:r>
      <w:r w:rsidR="002F6D60" w:rsidRPr="00403791">
        <w:t xml:space="preserve"> in the Lateglacial pollen data from Rovegno is perhaps the most important contrast</w:t>
      </w:r>
      <w:r w:rsidR="002F6D60">
        <w:t xml:space="preserve"> with other sites</w:t>
      </w:r>
      <w:r w:rsidR="002F6D60" w:rsidRPr="00403791">
        <w:t>, and may be explained by differences in elevation and proximity of glacial refugia</w:t>
      </w:r>
      <w:r w:rsidR="002F6D60">
        <w:t xml:space="preserve">. </w:t>
      </w:r>
      <w:r w:rsidR="002F6D60" w:rsidRPr="00403791">
        <w:t xml:space="preserve">The decline of </w:t>
      </w:r>
      <w:r w:rsidR="002F6D60" w:rsidRPr="00403791">
        <w:rPr>
          <w:i/>
        </w:rPr>
        <w:t>Pinus</w:t>
      </w:r>
      <w:r w:rsidR="002F6D60" w:rsidRPr="00403791">
        <w:t xml:space="preserve"> woodland sometime after 13,387-13,163 cal yrs BP</w:t>
      </w:r>
      <w:r w:rsidR="005E36FE">
        <w:t xml:space="preserve">, </w:t>
      </w:r>
      <w:r w:rsidR="005E36FE" w:rsidRPr="00403791">
        <w:t>an</w:t>
      </w:r>
      <w:r w:rsidR="005E36FE">
        <w:t>d</w:t>
      </w:r>
      <w:r w:rsidR="005E36FE" w:rsidRPr="00403791">
        <w:t xml:space="preserve"> increase in </w:t>
      </w:r>
      <w:r w:rsidR="005E36FE" w:rsidRPr="00403791">
        <w:rPr>
          <w:i/>
        </w:rPr>
        <w:t xml:space="preserve">Betula </w:t>
      </w:r>
      <w:r w:rsidR="005E36FE" w:rsidRPr="00403791">
        <w:t xml:space="preserve">and </w:t>
      </w:r>
      <w:r w:rsidR="005E36FE" w:rsidRPr="00403791">
        <w:rPr>
          <w:i/>
        </w:rPr>
        <w:t>Artemisia</w:t>
      </w:r>
      <w:r w:rsidR="005E36FE">
        <w:t xml:space="preserve">, </w:t>
      </w:r>
      <w:r w:rsidR="002F6D60" w:rsidRPr="00403791">
        <w:t xml:space="preserve">at Rovegno may possibly be equated with the Late Würm </w:t>
      </w:r>
      <w:r w:rsidR="002F6D60">
        <w:t>Lateglacial S</w:t>
      </w:r>
      <w:r w:rsidR="002F6D60" w:rsidRPr="00403791">
        <w:t>tadial</w:t>
      </w:r>
      <w:r w:rsidR="002F6D60">
        <w:t xml:space="preserve"> (‘</w:t>
      </w:r>
      <w:r w:rsidR="002F6D60" w:rsidRPr="00403791">
        <w:t>Younger Dryas</w:t>
      </w:r>
      <w:r w:rsidR="002F6D60">
        <w:t xml:space="preserve">’). The absence of a clear expansion of herbaceous taxa in the pollen record, however, suggests that the event is poorly represented. In contrast, at other sites, such as </w:t>
      </w:r>
      <w:r w:rsidR="00084CE8">
        <w:t>Prato Spilla ‘C’</w:t>
      </w:r>
      <w:r w:rsidR="002F6D60">
        <w:t xml:space="preserve">, the event is clearly marked by the decline of </w:t>
      </w:r>
      <w:r w:rsidR="002F6D60" w:rsidRPr="002F6D60">
        <w:rPr>
          <w:i/>
        </w:rPr>
        <w:t>Quercus</w:t>
      </w:r>
      <w:r w:rsidR="002F6D60">
        <w:t xml:space="preserve"> woodland, and the expansion of herbaceous taxa.</w:t>
      </w:r>
      <w:r w:rsidR="005E36FE">
        <w:t xml:space="preserve"> </w:t>
      </w:r>
      <w:r w:rsidR="00084CE8" w:rsidRPr="00403791">
        <w:t xml:space="preserve">The return of colder climatic conditions at this time has been recorded in several lake </w:t>
      </w:r>
      <w:r w:rsidR="005E36FE">
        <w:t xml:space="preserve">sequences in the Mediterranean </w:t>
      </w:r>
      <w:r w:rsidR="00084CE8" w:rsidRPr="00403791">
        <w:t xml:space="preserve">and </w:t>
      </w:r>
      <w:r w:rsidR="005E36FE">
        <w:t>Italy.</w:t>
      </w:r>
    </w:p>
    <w:p w:rsidR="005E36FE" w:rsidRDefault="005E36FE" w:rsidP="003724E0">
      <w:pPr>
        <w:jc w:val="both"/>
      </w:pPr>
    </w:p>
    <w:p w:rsidR="00D90958" w:rsidRDefault="004E0270" w:rsidP="003724E0">
      <w:pPr>
        <w:jc w:val="both"/>
      </w:pPr>
      <w:r>
        <w:t xml:space="preserve">During the Early Holocene, the dryland vegetation comprised </w:t>
      </w:r>
      <w:r w:rsidR="00644D60" w:rsidRPr="00403791">
        <w:t xml:space="preserve">mixed </w:t>
      </w:r>
      <w:r>
        <w:t xml:space="preserve">coniferous and </w:t>
      </w:r>
      <w:r w:rsidR="00644D60" w:rsidRPr="00403791">
        <w:t xml:space="preserve">deciduous woodland dominated by </w:t>
      </w:r>
      <w:r w:rsidR="00644D60" w:rsidRPr="00403791">
        <w:rPr>
          <w:i/>
        </w:rPr>
        <w:t xml:space="preserve">Quercus </w:t>
      </w:r>
      <w:r w:rsidR="00644D60" w:rsidRPr="00403791">
        <w:t xml:space="preserve">with </w:t>
      </w:r>
      <w:r w:rsidR="00644D60" w:rsidRPr="00403791">
        <w:rPr>
          <w:i/>
        </w:rPr>
        <w:t>Abies</w:t>
      </w:r>
      <w:r w:rsidR="00644D60" w:rsidRPr="00403791">
        <w:t xml:space="preserve">, </w:t>
      </w:r>
      <w:r w:rsidR="00644D60" w:rsidRPr="00403791">
        <w:rPr>
          <w:i/>
        </w:rPr>
        <w:t xml:space="preserve">Fagus </w:t>
      </w:r>
      <w:r w:rsidR="00644D60" w:rsidRPr="00403791">
        <w:t>and</w:t>
      </w:r>
      <w:r w:rsidR="00644D60" w:rsidRPr="00403791">
        <w:rPr>
          <w:i/>
        </w:rPr>
        <w:t xml:space="preserve"> Corylus</w:t>
      </w:r>
      <w:r w:rsidR="00644D60" w:rsidRPr="00403791">
        <w:t xml:space="preserve">. </w:t>
      </w:r>
      <w:r w:rsidR="00644D60" w:rsidRPr="00403791">
        <w:rPr>
          <w:i/>
        </w:rPr>
        <w:t>Fagus</w:t>
      </w:r>
      <w:r w:rsidR="00644D60" w:rsidRPr="00403791">
        <w:t xml:space="preserve"> woodland becomes established at Rovegno sometime before 6488-6318 cal yrs BP, but never becomes a major c</w:t>
      </w:r>
      <w:r w:rsidR="00D90958">
        <w:t xml:space="preserve">omponent of the woodland cover. At higher elevation, </w:t>
      </w:r>
      <w:r w:rsidR="00D90958" w:rsidRPr="00403791">
        <w:t xml:space="preserve">mixed deciduous – coniferous woodland, comprising </w:t>
      </w:r>
      <w:r w:rsidR="00D90958" w:rsidRPr="00403791">
        <w:rPr>
          <w:i/>
        </w:rPr>
        <w:t>Abies</w:t>
      </w:r>
      <w:r w:rsidR="00D90958" w:rsidRPr="00403791">
        <w:t xml:space="preserve"> with </w:t>
      </w:r>
      <w:r w:rsidR="00D90958" w:rsidRPr="00403791">
        <w:rPr>
          <w:i/>
        </w:rPr>
        <w:t>Pinus</w:t>
      </w:r>
      <w:r w:rsidR="00D90958" w:rsidRPr="00403791">
        <w:t xml:space="preserve">, </w:t>
      </w:r>
      <w:r w:rsidR="00D90958" w:rsidRPr="00403791">
        <w:rPr>
          <w:i/>
        </w:rPr>
        <w:t>Betula</w:t>
      </w:r>
      <w:r w:rsidR="00D90958" w:rsidRPr="00403791">
        <w:t xml:space="preserve">, </w:t>
      </w:r>
      <w:r w:rsidR="00D90958" w:rsidRPr="00403791">
        <w:rPr>
          <w:i/>
        </w:rPr>
        <w:t>Fraxinus</w:t>
      </w:r>
      <w:r w:rsidR="00D90958" w:rsidRPr="00403791">
        <w:t xml:space="preserve"> and </w:t>
      </w:r>
      <w:r w:rsidR="00D90958" w:rsidRPr="00403791">
        <w:rPr>
          <w:i/>
        </w:rPr>
        <w:t xml:space="preserve">Quercus </w:t>
      </w:r>
      <w:r w:rsidR="00D90958">
        <w:t>dominated. A</w:t>
      </w:r>
      <w:r w:rsidR="00D90958" w:rsidRPr="00403791">
        <w:t>t Rovegno</w:t>
      </w:r>
      <w:r w:rsidR="00D90958">
        <w:t>,</w:t>
      </w:r>
      <w:r w:rsidR="00D90958" w:rsidRPr="00403791">
        <w:t xml:space="preserve"> the ‘abrupt’ nature of the ‘</w:t>
      </w:r>
      <w:r w:rsidR="00D90958" w:rsidRPr="00403791">
        <w:rPr>
          <w:i/>
        </w:rPr>
        <w:t>Corylus</w:t>
      </w:r>
      <w:r w:rsidR="00D90958">
        <w:t xml:space="preserve"> rise’ </w:t>
      </w:r>
      <w:r w:rsidR="00D90958" w:rsidRPr="00403791">
        <w:t xml:space="preserve">suggests that it occurred following a hiatus in sedimentation during the earliest Holocene. The timing and duration of the hiatus remains </w:t>
      </w:r>
      <w:r w:rsidR="00D90958">
        <w:t>uncertain. Although t</w:t>
      </w:r>
      <w:r w:rsidR="00D90958" w:rsidRPr="00403791">
        <w:t>he cause of the ‘</w:t>
      </w:r>
      <w:r w:rsidR="00D90958" w:rsidRPr="00403791">
        <w:rPr>
          <w:i/>
        </w:rPr>
        <w:t>Corylus</w:t>
      </w:r>
      <w:r w:rsidR="00D90958" w:rsidRPr="00403791">
        <w:t xml:space="preserve"> rise’ has been attributed to climate change, distance from glacial refugia, and the migration rate of </w:t>
      </w:r>
      <w:r w:rsidR="00D90958" w:rsidRPr="00403791">
        <w:rPr>
          <w:i/>
        </w:rPr>
        <w:t>Corylus</w:t>
      </w:r>
      <w:r w:rsidR="00D90958" w:rsidRPr="00403791">
        <w:t xml:space="preserve">, competition </w:t>
      </w:r>
      <w:r w:rsidR="00D90958">
        <w:t xml:space="preserve">or Mesolithic human activities, </w:t>
      </w:r>
      <w:r w:rsidR="00D90958" w:rsidRPr="00403791">
        <w:t>the data from Rovegno add very little to the cu</w:t>
      </w:r>
      <w:r w:rsidR="00D90958">
        <w:t>rrent debate</w:t>
      </w:r>
      <w:r w:rsidR="00D90958" w:rsidRPr="00403791">
        <w:t>.</w:t>
      </w:r>
      <w:r w:rsidR="00D90958">
        <w:t xml:space="preserve"> For the remainder of the Early </w:t>
      </w:r>
      <w:r w:rsidR="00D90958" w:rsidRPr="00403791">
        <w:t xml:space="preserve">Holocene, </w:t>
      </w:r>
      <w:r w:rsidR="00D90958" w:rsidRPr="00403791">
        <w:rPr>
          <w:i/>
        </w:rPr>
        <w:t>Abies</w:t>
      </w:r>
      <w:r w:rsidR="00D90958" w:rsidRPr="00403791">
        <w:t xml:space="preserve"> dominated the upland zone of the northern Apennines, forming a mixed coniferous-deciduous woodland cover with </w:t>
      </w:r>
      <w:r w:rsidR="00D90958" w:rsidRPr="00403791">
        <w:rPr>
          <w:i/>
        </w:rPr>
        <w:t>Quercus</w:t>
      </w:r>
      <w:r w:rsidR="00D90958" w:rsidRPr="00403791">
        <w:t xml:space="preserve">, </w:t>
      </w:r>
      <w:r w:rsidR="00D90958" w:rsidRPr="00403791">
        <w:rPr>
          <w:i/>
        </w:rPr>
        <w:t xml:space="preserve">Tilia, Ulmus </w:t>
      </w:r>
      <w:r w:rsidR="00D90958" w:rsidRPr="00403791">
        <w:t xml:space="preserve">and </w:t>
      </w:r>
      <w:r w:rsidR="00D90958" w:rsidRPr="00403791">
        <w:rPr>
          <w:i/>
        </w:rPr>
        <w:t>Corylus</w:t>
      </w:r>
      <w:r w:rsidR="00D90958">
        <w:t>, whilst at</w:t>
      </w:r>
      <w:r w:rsidR="00D90958" w:rsidRPr="00403791">
        <w:t xml:space="preserve"> Rovegno </w:t>
      </w:r>
      <w:r w:rsidR="00D90958">
        <w:t xml:space="preserve">there was a </w:t>
      </w:r>
      <w:r w:rsidR="00D90958" w:rsidRPr="00403791">
        <w:t xml:space="preserve">higher proportion of </w:t>
      </w:r>
      <w:r w:rsidR="00D90958" w:rsidRPr="00403791">
        <w:rPr>
          <w:i/>
        </w:rPr>
        <w:t xml:space="preserve">Quercus </w:t>
      </w:r>
      <w:r w:rsidR="00D90958" w:rsidRPr="00403791">
        <w:t xml:space="preserve">within the </w:t>
      </w:r>
      <w:r w:rsidR="00D90958" w:rsidRPr="00403791">
        <w:rPr>
          <w:i/>
        </w:rPr>
        <w:t xml:space="preserve">Abies </w:t>
      </w:r>
      <w:r w:rsidR="00D90958">
        <w:t xml:space="preserve">woodland </w:t>
      </w:r>
      <w:r w:rsidR="00D90958" w:rsidRPr="00403791">
        <w:t xml:space="preserve">and the increasing presence of </w:t>
      </w:r>
      <w:r w:rsidR="00D90958" w:rsidRPr="00403791">
        <w:rPr>
          <w:i/>
        </w:rPr>
        <w:t>Fagus</w:t>
      </w:r>
      <w:r w:rsidR="00D90958">
        <w:t>.</w:t>
      </w:r>
    </w:p>
    <w:p w:rsidR="00F252AC" w:rsidRDefault="00F252AC" w:rsidP="003724E0">
      <w:pPr>
        <w:jc w:val="both"/>
      </w:pPr>
    </w:p>
    <w:p w:rsidR="00F252AC" w:rsidRPr="00403791" w:rsidRDefault="00F252AC" w:rsidP="003724E0">
      <w:pPr>
        <w:jc w:val="both"/>
      </w:pPr>
      <w:r w:rsidRPr="00403791">
        <w:t>T</w:t>
      </w:r>
      <w:r>
        <w:t xml:space="preserve">he onset of the Middle Holocene </w:t>
      </w:r>
      <w:r w:rsidRPr="00403791">
        <w:t xml:space="preserve">was marked by contrasting vegetation patterns in the upland zone of the northern Apennines: (a) a sustained reduction in </w:t>
      </w:r>
      <w:r w:rsidRPr="00403791">
        <w:rPr>
          <w:i/>
        </w:rPr>
        <w:t>Abies</w:t>
      </w:r>
      <w:r>
        <w:t xml:space="preserve"> woodland</w:t>
      </w:r>
      <w:r w:rsidRPr="00403791">
        <w:t xml:space="preserve">, (b) a temporary decline </w:t>
      </w:r>
      <w:r>
        <w:t xml:space="preserve">in </w:t>
      </w:r>
      <w:r w:rsidRPr="00F252AC">
        <w:rPr>
          <w:i/>
        </w:rPr>
        <w:t>Abies</w:t>
      </w:r>
      <w:r w:rsidRPr="00403791">
        <w:t xml:space="preserve">, (c) the persistence of </w:t>
      </w:r>
      <w:r w:rsidRPr="00403791">
        <w:rPr>
          <w:i/>
        </w:rPr>
        <w:t>Abies</w:t>
      </w:r>
      <w:r w:rsidRPr="00403791">
        <w:t xml:space="preserve">, and (d) the broadly synchronous expansion of </w:t>
      </w:r>
      <w:r w:rsidRPr="00403791">
        <w:rPr>
          <w:i/>
        </w:rPr>
        <w:t>Fagus</w:t>
      </w:r>
      <w:r w:rsidRPr="00403791">
        <w:t xml:space="preserve"> woodland</w:t>
      </w:r>
      <w:r>
        <w:t xml:space="preserve">. </w:t>
      </w:r>
      <w:r w:rsidRPr="00403791">
        <w:t xml:space="preserve">This general pattern coincided with increases in </w:t>
      </w:r>
      <w:r w:rsidRPr="00403791">
        <w:rPr>
          <w:i/>
        </w:rPr>
        <w:t>Quercus</w:t>
      </w:r>
      <w:r w:rsidRPr="00403791">
        <w:t xml:space="preserve"> and </w:t>
      </w:r>
      <w:r w:rsidRPr="00403791">
        <w:rPr>
          <w:i/>
        </w:rPr>
        <w:t>Corylus</w:t>
      </w:r>
      <w:r>
        <w:t>, and herbaceous taxa</w:t>
      </w:r>
      <w:r w:rsidRPr="00403791">
        <w:t xml:space="preserve"> (e.g. </w:t>
      </w:r>
      <w:r w:rsidRPr="00403791">
        <w:rPr>
          <w:i/>
        </w:rPr>
        <w:t>Plantago lanceolata</w:t>
      </w:r>
      <w:r w:rsidRPr="00403791">
        <w:t xml:space="preserve">), and a reduction in </w:t>
      </w:r>
      <w:r w:rsidRPr="00403791">
        <w:rPr>
          <w:i/>
        </w:rPr>
        <w:t>Tilia</w:t>
      </w:r>
      <w:r w:rsidRPr="00403791">
        <w:t xml:space="preserve">, </w:t>
      </w:r>
      <w:r w:rsidRPr="00403791">
        <w:rPr>
          <w:i/>
        </w:rPr>
        <w:t xml:space="preserve">Ulmus </w:t>
      </w:r>
      <w:r w:rsidRPr="00403791">
        <w:t xml:space="preserve">and </w:t>
      </w:r>
      <w:r w:rsidRPr="00403791">
        <w:rPr>
          <w:i/>
        </w:rPr>
        <w:t xml:space="preserve">Fraxinus. </w:t>
      </w:r>
      <w:r w:rsidRPr="00403791">
        <w:t>At</w:t>
      </w:r>
      <w:r>
        <w:t xml:space="preserve"> Rovegno</w:t>
      </w:r>
      <w:r w:rsidRPr="00403791">
        <w:t xml:space="preserve">, </w:t>
      </w:r>
      <w:r w:rsidRPr="00403791">
        <w:rPr>
          <w:i/>
        </w:rPr>
        <w:t>Fagus</w:t>
      </w:r>
      <w:r w:rsidRPr="00403791">
        <w:t xml:space="preserve"> woodland was al</w:t>
      </w:r>
      <w:r>
        <w:t xml:space="preserve">ready well established, which is consistent with many lower elevation sites, whilst </w:t>
      </w:r>
      <w:r w:rsidRPr="00403791">
        <w:rPr>
          <w:i/>
        </w:rPr>
        <w:t>Quercus</w:t>
      </w:r>
      <w:r w:rsidRPr="00403791">
        <w:t xml:space="preserve"> became increasingly dominant over</w:t>
      </w:r>
      <w:r w:rsidRPr="00403791">
        <w:rPr>
          <w:i/>
        </w:rPr>
        <w:t xml:space="preserve"> Abies</w:t>
      </w:r>
      <w:r w:rsidRPr="00403791">
        <w:t>.</w:t>
      </w:r>
      <w:r>
        <w:t xml:space="preserve"> The presence of </w:t>
      </w:r>
      <w:r w:rsidRPr="000D68C1">
        <w:rPr>
          <w:i/>
        </w:rPr>
        <w:t>Fagus</w:t>
      </w:r>
      <w:r>
        <w:t xml:space="preserve"> from 6488-6318 cal yrs BP at Rovegno confirms that this taxon </w:t>
      </w:r>
      <w:r>
        <w:lastRenderedPageBreak/>
        <w:t xml:space="preserve">colonised mid-altitudes prior to its major expansion at higher elevations from ~6000 cal yrs BP. </w:t>
      </w:r>
      <w:r w:rsidRPr="00403791">
        <w:t xml:space="preserve">From ~6000 cal yrs BP, </w:t>
      </w:r>
      <w:r w:rsidRPr="00403791">
        <w:rPr>
          <w:i/>
        </w:rPr>
        <w:t xml:space="preserve">Fagus </w:t>
      </w:r>
      <w:r w:rsidRPr="00403791">
        <w:t xml:space="preserve">formed mixed </w:t>
      </w:r>
      <w:r w:rsidRPr="00403791">
        <w:rPr>
          <w:i/>
        </w:rPr>
        <w:t>Abies</w:t>
      </w:r>
      <w:r w:rsidRPr="00403791">
        <w:t>-</w:t>
      </w:r>
      <w:r w:rsidRPr="00403791">
        <w:rPr>
          <w:i/>
        </w:rPr>
        <w:t>Fagus</w:t>
      </w:r>
      <w:r w:rsidRPr="00403791">
        <w:t xml:space="preserve"> woodland across the upland zone of the northern Apennines, which coincided with further reductions in </w:t>
      </w:r>
      <w:r w:rsidRPr="00403791">
        <w:rPr>
          <w:i/>
        </w:rPr>
        <w:t>Ulmus</w:t>
      </w:r>
      <w:r w:rsidRPr="00403791">
        <w:t xml:space="preserve">, </w:t>
      </w:r>
      <w:r w:rsidRPr="00403791">
        <w:rPr>
          <w:i/>
        </w:rPr>
        <w:t>Tilia</w:t>
      </w:r>
      <w:r w:rsidRPr="00403791">
        <w:t xml:space="preserve"> and </w:t>
      </w:r>
      <w:r w:rsidRPr="00403791">
        <w:rPr>
          <w:i/>
        </w:rPr>
        <w:t>Fraxinus</w:t>
      </w:r>
      <w:r w:rsidRPr="00403791">
        <w:t xml:space="preserve">, increases in herbaceous taxa (e.g. </w:t>
      </w:r>
      <w:r w:rsidRPr="00403791">
        <w:rPr>
          <w:i/>
        </w:rPr>
        <w:t>Plantago lanceolata</w:t>
      </w:r>
      <w:r w:rsidRPr="00403791">
        <w:t xml:space="preserve"> and Poaceae), as well as </w:t>
      </w:r>
      <w:r w:rsidRPr="00403791">
        <w:rPr>
          <w:i/>
        </w:rPr>
        <w:t xml:space="preserve">Carpinus </w:t>
      </w:r>
      <w:r w:rsidRPr="00403791">
        <w:t xml:space="preserve">and </w:t>
      </w:r>
      <w:r w:rsidRPr="00403791">
        <w:rPr>
          <w:i/>
        </w:rPr>
        <w:t>Ostrya</w:t>
      </w:r>
      <w:r w:rsidRPr="00403791">
        <w:t>. At lower elevations,</w:t>
      </w:r>
      <w:r>
        <w:t xml:space="preserve"> such as Rovegno,</w:t>
      </w:r>
      <w:r w:rsidRPr="00403791">
        <w:t xml:space="preserve"> </w:t>
      </w:r>
      <w:r w:rsidRPr="00403791">
        <w:rPr>
          <w:i/>
        </w:rPr>
        <w:t>Quercus</w:t>
      </w:r>
      <w:r w:rsidRPr="00403791">
        <w:t xml:space="preserve"> became dominant, with </w:t>
      </w:r>
      <w:r w:rsidRPr="00403791">
        <w:rPr>
          <w:i/>
        </w:rPr>
        <w:t>Fagus</w:t>
      </w:r>
      <w:r w:rsidRPr="00403791">
        <w:t xml:space="preserve"> only forming a minor component of the woodland </w:t>
      </w:r>
      <w:r>
        <w:t xml:space="preserve">cover. </w:t>
      </w:r>
      <w:r w:rsidRPr="00403791">
        <w:t xml:space="preserve">The period from ~4700 cal yrs BP to the end of the Middle Holocene (~3000 cal yrs BP) records a further major change in vegetation succession with the beginning of a sustained reduction in </w:t>
      </w:r>
      <w:r w:rsidRPr="00403791">
        <w:rPr>
          <w:i/>
        </w:rPr>
        <w:t xml:space="preserve">Abies </w:t>
      </w:r>
      <w:r w:rsidRPr="00403791">
        <w:t>woodland, and an overall increase in</w:t>
      </w:r>
      <w:r w:rsidRPr="00403791">
        <w:rPr>
          <w:i/>
        </w:rPr>
        <w:t xml:space="preserve"> Fagus</w:t>
      </w:r>
      <w:r w:rsidRPr="00403791">
        <w:t>, which suggests dynamic changes in the composition and structure of the woodland cover.</w:t>
      </w:r>
    </w:p>
    <w:p w:rsidR="00F252AC" w:rsidRPr="00403791" w:rsidRDefault="00F252AC" w:rsidP="003724E0">
      <w:pPr>
        <w:jc w:val="both"/>
      </w:pPr>
    </w:p>
    <w:p w:rsidR="00D90958" w:rsidRDefault="00F252AC" w:rsidP="003724E0">
      <w:pPr>
        <w:jc w:val="both"/>
      </w:pPr>
      <w:r w:rsidRPr="00403791">
        <w:t>The decline of the main woodland taxa at many sites was accompanied by occasional evidence for soil erosion and a general increase in non-arboreal taxa; this commenced during the Early and Middle Neolithic (~7800-6100 cal yrs BP), and continued during the Late Neolithic (~6100-5800 cal yrs BP), Copper Age (~5800-4200 cal yrs BP) and Bronze Age (~4200-2900 cal yrs BP). Although these changes are often associated with the spread of agriculture in many parts of Europe, the palaeoecological evidence for human activities at mid and high elevations in the northern Apennines remains equivocal</w:t>
      </w:r>
      <w:r>
        <w:t xml:space="preserve">. Therefore, the application of </w:t>
      </w:r>
      <w:r w:rsidRPr="00403791">
        <w:t>standard criteria for inferring human impact on the environment using palaeoecological data, such as woodland clearance, biomass burning and soil erosion remain uncertain. Additional methods must therefore be routinely employed in northern Apennine research to a</w:t>
      </w:r>
      <w:r>
        <w:t xml:space="preserve">void ongoing circular arguments, such as </w:t>
      </w:r>
      <w:r w:rsidRPr="00403791">
        <w:t>non-pollen palynomorph (NPP) analysis, especia</w:t>
      </w:r>
      <w:r>
        <w:t xml:space="preserve">lly coprophilous fungal spores. At </w:t>
      </w:r>
      <w:r w:rsidRPr="00403791">
        <w:t>Prato Spilla ‘</w:t>
      </w:r>
      <w:r w:rsidR="00B74955">
        <w:t>A’ (Emilia-Romagna), p</w:t>
      </w:r>
      <w:r w:rsidRPr="00403791">
        <w:t xml:space="preserve">revious pollen analysis has inferred two episodes of human interference in vegetation succession during the </w:t>
      </w:r>
      <w:r>
        <w:t xml:space="preserve">Middle and Late Neolithic. </w:t>
      </w:r>
      <w:r w:rsidR="00B74955">
        <w:t>T</w:t>
      </w:r>
      <w:r w:rsidRPr="00403791">
        <w:t>he low values of coprophilous fungal spores across both of these events suggests, however, that there is little or no evidence for human activity associated with pastoralism, and instead the dung spores could be ascribed to wild mountain herbivores, most l</w:t>
      </w:r>
      <w:r w:rsidR="00B74955">
        <w:t xml:space="preserve">ikely ungulates and lagomorphs. </w:t>
      </w:r>
      <w:r>
        <w:t>T</w:t>
      </w:r>
      <w:r w:rsidRPr="00403791">
        <w:t>he fungal data suggest</w:t>
      </w:r>
      <w:r>
        <w:t>, therefore,</w:t>
      </w:r>
      <w:r w:rsidRPr="00403791">
        <w:t xml:space="preserve"> that greater caution must be used when interpreting human activity ba</w:t>
      </w:r>
      <w:r w:rsidR="00B74955">
        <w:t>sed upon pollen data alone.</w:t>
      </w:r>
    </w:p>
    <w:p w:rsidR="00084CE8" w:rsidRDefault="00084CE8" w:rsidP="003724E0">
      <w:pPr>
        <w:jc w:val="both"/>
      </w:pPr>
    </w:p>
    <w:p w:rsidR="00084CE8" w:rsidRDefault="00084CE8" w:rsidP="003724E0">
      <w:pPr>
        <w:jc w:val="both"/>
      </w:pPr>
    </w:p>
    <w:p w:rsidR="00644D60" w:rsidRPr="00403791" w:rsidRDefault="00644D60" w:rsidP="003724E0">
      <w:pPr>
        <w:jc w:val="both"/>
      </w:pPr>
      <w:r>
        <w:t xml:space="preserve"> </w:t>
      </w:r>
    </w:p>
    <w:p w:rsidR="00644D60" w:rsidRPr="00403791" w:rsidRDefault="00644D60" w:rsidP="003724E0">
      <w:pPr>
        <w:jc w:val="both"/>
      </w:pPr>
    </w:p>
    <w:p w:rsidR="00836172" w:rsidRDefault="00836172" w:rsidP="003724E0">
      <w:pPr>
        <w:jc w:val="both"/>
        <w:rPr>
          <w:b/>
        </w:rPr>
      </w:pPr>
    </w:p>
    <w:p w:rsidR="00F852F4" w:rsidRDefault="00F852F4" w:rsidP="003724E0">
      <w:pPr>
        <w:jc w:val="both"/>
        <w:rPr>
          <w:b/>
        </w:rPr>
      </w:pPr>
    </w:p>
    <w:p w:rsidR="00F852F4" w:rsidRDefault="00F852F4" w:rsidP="003724E0">
      <w:pPr>
        <w:jc w:val="both"/>
        <w:rPr>
          <w:b/>
        </w:rPr>
      </w:pPr>
    </w:p>
    <w:p w:rsidR="00F852F4" w:rsidRDefault="00F852F4" w:rsidP="003724E0">
      <w:pPr>
        <w:jc w:val="both"/>
        <w:rPr>
          <w:b/>
        </w:rPr>
      </w:pPr>
    </w:p>
    <w:p w:rsidR="00F852F4" w:rsidRDefault="00F852F4" w:rsidP="003724E0">
      <w:pPr>
        <w:jc w:val="both"/>
        <w:rPr>
          <w:b/>
        </w:rPr>
      </w:pPr>
    </w:p>
    <w:p w:rsidR="00F852F4" w:rsidRDefault="00F852F4" w:rsidP="003724E0">
      <w:pPr>
        <w:jc w:val="both"/>
        <w:rPr>
          <w:b/>
        </w:rPr>
      </w:pPr>
    </w:p>
    <w:p w:rsidR="00F852F4" w:rsidRDefault="00F852F4" w:rsidP="003724E0">
      <w:pPr>
        <w:jc w:val="both"/>
        <w:rPr>
          <w:b/>
        </w:rPr>
      </w:pPr>
    </w:p>
    <w:p w:rsidR="005E36FE" w:rsidRDefault="005E36FE" w:rsidP="003724E0">
      <w:pPr>
        <w:jc w:val="both"/>
        <w:rPr>
          <w:b/>
        </w:rPr>
      </w:pPr>
    </w:p>
    <w:p w:rsidR="005E36FE" w:rsidRDefault="005E36FE" w:rsidP="003724E0">
      <w:pPr>
        <w:jc w:val="both"/>
        <w:rPr>
          <w:b/>
        </w:rPr>
      </w:pPr>
    </w:p>
    <w:p w:rsidR="005E36FE" w:rsidRDefault="005E36FE" w:rsidP="003724E0">
      <w:pPr>
        <w:jc w:val="both"/>
        <w:rPr>
          <w:b/>
        </w:rPr>
      </w:pPr>
    </w:p>
    <w:p w:rsidR="005E36FE" w:rsidRDefault="005E36FE" w:rsidP="003724E0">
      <w:pPr>
        <w:jc w:val="both"/>
        <w:rPr>
          <w:b/>
        </w:rPr>
      </w:pPr>
    </w:p>
    <w:p w:rsidR="005E36FE" w:rsidRDefault="005E36FE" w:rsidP="003724E0">
      <w:pPr>
        <w:jc w:val="both"/>
        <w:rPr>
          <w:b/>
        </w:rPr>
      </w:pPr>
    </w:p>
    <w:p w:rsidR="005E36FE" w:rsidRDefault="005E36FE" w:rsidP="003724E0">
      <w:pPr>
        <w:jc w:val="both"/>
        <w:rPr>
          <w:b/>
        </w:rPr>
      </w:pPr>
    </w:p>
    <w:p w:rsidR="005E36FE" w:rsidRDefault="005E36FE" w:rsidP="003724E0">
      <w:pPr>
        <w:jc w:val="both"/>
        <w:rPr>
          <w:b/>
        </w:rPr>
      </w:pPr>
    </w:p>
    <w:p w:rsidR="005E36FE" w:rsidRDefault="005E36FE" w:rsidP="003724E0">
      <w:pPr>
        <w:jc w:val="both"/>
        <w:rPr>
          <w:b/>
        </w:rPr>
      </w:pPr>
    </w:p>
    <w:p w:rsidR="005E36FE" w:rsidRDefault="005E36FE" w:rsidP="003724E0">
      <w:pPr>
        <w:jc w:val="both"/>
        <w:rPr>
          <w:b/>
        </w:rPr>
      </w:pPr>
    </w:p>
    <w:p w:rsidR="001636F2" w:rsidRPr="00403791" w:rsidRDefault="001636F2" w:rsidP="003724E0">
      <w:pPr>
        <w:jc w:val="both"/>
        <w:rPr>
          <w:b/>
        </w:rPr>
      </w:pPr>
      <w:r w:rsidRPr="00403791">
        <w:rPr>
          <w:b/>
        </w:rPr>
        <w:lastRenderedPageBreak/>
        <w:t>Introduction</w:t>
      </w:r>
    </w:p>
    <w:p w:rsidR="008A4AAE" w:rsidRPr="002146B1" w:rsidRDefault="00BF5E3D" w:rsidP="003724E0">
      <w:pPr>
        <w:jc w:val="both"/>
      </w:pPr>
      <w:r w:rsidRPr="002146B1">
        <w:t xml:space="preserve">Palaeoecological studies in the northern Apennines (embracing the regions of Liguria, and parts </w:t>
      </w:r>
      <w:r w:rsidR="0089651C" w:rsidRPr="002146B1">
        <w:t>of Tuscany and Emilia-Romagna; f</w:t>
      </w:r>
      <w:r w:rsidRPr="002146B1">
        <w:t>ig. 1) have enabled reconstruction</w:t>
      </w:r>
      <w:r w:rsidR="0067690B" w:rsidRPr="002146B1">
        <w:t xml:space="preserve"> of the main </w:t>
      </w:r>
      <w:r w:rsidRPr="002146B1">
        <w:t>patterns of e</w:t>
      </w:r>
      <w:r w:rsidR="0067690B" w:rsidRPr="002146B1">
        <w:t xml:space="preserve">nvironmental change from </w:t>
      </w:r>
      <w:r w:rsidRPr="002146B1">
        <w:t>~</w:t>
      </w:r>
      <w:r w:rsidR="0067690B" w:rsidRPr="002146B1">
        <w:t xml:space="preserve">14,000 to ~3000 years before present </w:t>
      </w:r>
      <w:r w:rsidRPr="002146B1">
        <w:t>(</w:t>
      </w:r>
      <w:r w:rsidR="0067690B" w:rsidRPr="002146B1">
        <w:t xml:space="preserve">Late Würm Late Glacial to the </w:t>
      </w:r>
      <w:r w:rsidR="00B17CE5" w:rsidRPr="002146B1">
        <w:t xml:space="preserve">end of the </w:t>
      </w:r>
      <w:r w:rsidRPr="002146B1">
        <w:t>Mid</w:t>
      </w:r>
      <w:r w:rsidR="0067690B" w:rsidRPr="002146B1">
        <w:t xml:space="preserve">dle </w:t>
      </w:r>
      <w:r w:rsidRPr="002146B1">
        <w:t>Holocene)</w:t>
      </w:r>
      <w:r w:rsidR="009301AF">
        <w:rPr>
          <w:rStyle w:val="FootnoteReference"/>
        </w:rPr>
        <w:footnoteReference w:id="1"/>
      </w:r>
      <w:r w:rsidRPr="002146B1">
        <w:t xml:space="preserve">. </w:t>
      </w:r>
      <w:r w:rsidR="0067690B" w:rsidRPr="002146B1">
        <w:t>Recent investigations</w:t>
      </w:r>
      <w:r w:rsidRPr="002146B1">
        <w:t xml:space="preserve"> </w:t>
      </w:r>
      <w:r w:rsidR="0067690B" w:rsidRPr="002146B1">
        <w:t>have attempted</w:t>
      </w:r>
      <w:r w:rsidR="00B17CE5" w:rsidRPr="002146B1">
        <w:t xml:space="preserve"> to enhance</w:t>
      </w:r>
      <w:r w:rsidR="0067690B" w:rsidRPr="002146B1">
        <w:t xml:space="preserve"> understanding of the cause, or causes, of the</w:t>
      </w:r>
      <w:r w:rsidR="008F423B" w:rsidRPr="002146B1">
        <w:t>se</w:t>
      </w:r>
      <w:r w:rsidR="0067690B" w:rsidRPr="002146B1">
        <w:t xml:space="preserve"> changes </w:t>
      </w:r>
      <w:r w:rsidR="008A4AAE" w:rsidRPr="002146B1">
        <w:t xml:space="preserve">through improved integration with </w:t>
      </w:r>
      <w:r w:rsidR="0067690B" w:rsidRPr="002146B1">
        <w:t>archaeol</w:t>
      </w:r>
      <w:r w:rsidR="009301AF">
        <w:t>ogical and palaeoclimatic data</w:t>
      </w:r>
      <w:r w:rsidR="009301AF">
        <w:rPr>
          <w:rStyle w:val="FootnoteReference"/>
        </w:rPr>
        <w:footnoteReference w:id="2"/>
      </w:r>
      <w:r w:rsidR="0067690B" w:rsidRPr="002146B1">
        <w:t>.</w:t>
      </w:r>
      <w:r w:rsidR="008A4AAE" w:rsidRPr="002146B1">
        <w:t xml:space="preserve"> The aim of this paper is to present a new chronological framework for </w:t>
      </w:r>
      <w:r w:rsidR="00BE1752" w:rsidRPr="002146B1">
        <w:t xml:space="preserve">the palaeoecological record from </w:t>
      </w:r>
      <w:r w:rsidR="008A4AAE" w:rsidRPr="002146B1">
        <w:t>Rovegno</w:t>
      </w:r>
      <w:r w:rsidR="006E6BBE">
        <w:rPr>
          <w:rStyle w:val="FootnoteReference"/>
        </w:rPr>
        <w:footnoteReference w:id="3"/>
      </w:r>
      <w:r w:rsidR="00494115" w:rsidRPr="002146B1">
        <w:t>, a unique upland</w:t>
      </w:r>
      <w:r w:rsidR="00037289" w:rsidRPr="002146B1">
        <w:t xml:space="preserve"> </w:t>
      </w:r>
      <w:r w:rsidR="00BE1752" w:rsidRPr="002146B1">
        <w:t xml:space="preserve">site in </w:t>
      </w:r>
      <w:r w:rsidR="006039A1" w:rsidRPr="002146B1">
        <w:t>Liguria</w:t>
      </w:r>
      <w:r w:rsidR="00B17CE5" w:rsidRPr="002146B1">
        <w:t>,</w:t>
      </w:r>
      <w:r w:rsidR="006039A1" w:rsidRPr="002146B1">
        <w:t xml:space="preserve"> </w:t>
      </w:r>
      <w:r w:rsidR="00037289" w:rsidRPr="002146B1">
        <w:t xml:space="preserve">spanning from before ~17,000 cal yrs BP (Upper Palaeolithic) to the present day. This will be compared with palaeoecological data from across the northern Apennines with a particular emphasis on </w:t>
      </w:r>
      <w:r w:rsidR="006039A1" w:rsidRPr="002146B1">
        <w:t>summarising the key phases</w:t>
      </w:r>
      <w:r w:rsidR="00037289" w:rsidRPr="002146B1">
        <w:t xml:space="preserve"> of vegetation succession</w:t>
      </w:r>
      <w:r w:rsidR="00BF5946" w:rsidRPr="002146B1">
        <w:t>. Finally, we present a brief</w:t>
      </w:r>
      <w:r w:rsidR="00494115" w:rsidRPr="002146B1">
        <w:t xml:space="preserve"> </w:t>
      </w:r>
      <w:r w:rsidR="00BF5946" w:rsidRPr="002146B1">
        <w:t>evaluation</w:t>
      </w:r>
      <w:r w:rsidR="006039A1" w:rsidRPr="002146B1">
        <w:t xml:space="preserve"> </w:t>
      </w:r>
      <w:r w:rsidR="00BF5946" w:rsidRPr="002146B1">
        <w:t xml:space="preserve">of </w:t>
      </w:r>
      <w:r w:rsidR="006039A1" w:rsidRPr="002146B1">
        <w:t xml:space="preserve">the use of </w:t>
      </w:r>
      <w:r w:rsidR="00B17CE5" w:rsidRPr="002146B1">
        <w:t xml:space="preserve">non-pollen palynomorphs as a means of </w:t>
      </w:r>
      <w:r w:rsidR="00BF5946" w:rsidRPr="002146B1">
        <w:t>identifying human impact on the environment</w:t>
      </w:r>
      <w:r w:rsidR="00B17CE5" w:rsidRPr="002146B1">
        <w:t xml:space="preserve"> </w:t>
      </w:r>
      <w:r w:rsidR="00BF5946" w:rsidRPr="002146B1">
        <w:t xml:space="preserve">during the Middle Holocene </w:t>
      </w:r>
      <w:r w:rsidR="00B17CE5" w:rsidRPr="002146B1">
        <w:t>from a new study at Prato Spilla ‘A’</w:t>
      </w:r>
      <w:r w:rsidR="006E6BBE">
        <w:t>, Emilia-Romagna</w:t>
      </w:r>
      <w:r w:rsidR="009301AF">
        <w:rPr>
          <w:rStyle w:val="FootnoteReference"/>
        </w:rPr>
        <w:footnoteReference w:id="4"/>
      </w:r>
      <w:r w:rsidR="006039A1" w:rsidRPr="002146B1">
        <w:t>.</w:t>
      </w:r>
    </w:p>
    <w:p w:rsidR="00EB79FB" w:rsidRPr="00403791" w:rsidRDefault="00EB79FB" w:rsidP="003724E0">
      <w:pPr>
        <w:jc w:val="both"/>
      </w:pPr>
    </w:p>
    <w:p w:rsidR="00EB79FB" w:rsidRPr="00403791" w:rsidRDefault="00003A56" w:rsidP="003724E0">
      <w:pPr>
        <w:jc w:val="both"/>
        <w:rPr>
          <w:b/>
        </w:rPr>
      </w:pPr>
      <w:r w:rsidRPr="00403791">
        <w:rPr>
          <w:b/>
        </w:rPr>
        <w:t>Study area and site description</w:t>
      </w:r>
    </w:p>
    <w:p w:rsidR="000D025A" w:rsidRDefault="000D025A" w:rsidP="003724E0">
      <w:pPr>
        <w:jc w:val="both"/>
      </w:pPr>
      <w:r w:rsidRPr="002146B1">
        <w:t xml:space="preserve">In the eastern Ligurian Apennines, the geology </w:t>
      </w:r>
      <w:proofErr w:type="gramStart"/>
      <w:r w:rsidRPr="002146B1">
        <w:t>is dominated</w:t>
      </w:r>
      <w:proofErr w:type="gramEnd"/>
      <w:r w:rsidRPr="002146B1">
        <w:t xml:space="preserve"> by upper Jurassic Ophiolites (basalts, </w:t>
      </w:r>
      <w:proofErr w:type="spellStart"/>
      <w:r w:rsidRPr="002146B1">
        <w:t>serpentinites</w:t>
      </w:r>
      <w:proofErr w:type="spellEnd"/>
      <w:r w:rsidRPr="002146B1">
        <w:t xml:space="preserve">, </w:t>
      </w:r>
      <w:proofErr w:type="spellStart"/>
      <w:r w:rsidRPr="002146B1">
        <w:t>gabbros</w:t>
      </w:r>
      <w:proofErr w:type="spellEnd"/>
      <w:r w:rsidRPr="002146B1">
        <w:t xml:space="preserve"> and granites) and associated sedimentary deposits</w:t>
      </w:r>
      <w:r w:rsidR="00271B89">
        <w:rPr>
          <w:rStyle w:val="FootnoteReference"/>
        </w:rPr>
        <w:footnoteReference w:id="5"/>
      </w:r>
      <w:r w:rsidRPr="002146B1">
        <w:t>. In the Tuscan-Emilian Apennines, the key sites are located in an area of Cretaceous formations and Oligocene sandstone with interbedded ‘</w:t>
      </w:r>
      <w:proofErr w:type="spellStart"/>
      <w:r w:rsidRPr="002146B1">
        <w:t>olistostrome</w:t>
      </w:r>
      <w:proofErr w:type="spellEnd"/>
      <w:r w:rsidRPr="002146B1">
        <w:t xml:space="preserve">’ units with “clasts of limestone, </w:t>
      </w:r>
      <w:proofErr w:type="spellStart"/>
      <w:r w:rsidRPr="002146B1">
        <w:t>calcarenites</w:t>
      </w:r>
      <w:proofErr w:type="spellEnd"/>
      <w:r w:rsidRPr="002146B1">
        <w:t>, greyw</w:t>
      </w:r>
      <w:r w:rsidR="002B3EA9">
        <w:t xml:space="preserve">ackes, sandstones and </w:t>
      </w:r>
      <w:proofErr w:type="spellStart"/>
      <w:r w:rsidR="002B3EA9">
        <w:t>breccias</w:t>
      </w:r>
      <w:proofErr w:type="spellEnd"/>
      <w:r w:rsidR="002B3EA9">
        <w:t>”</w:t>
      </w:r>
      <w:r w:rsidR="002B3EA9">
        <w:rPr>
          <w:rStyle w:val="FootnoteReference"/>
        </w:rPr>
        <w:footnoteReference w:id="6"/>
      </w:r>
      <w:r w:rsidR="00314945">
        <w:t>.</w:t>
      </w:r>
      <w:r w:rsidRPr="002146B1">
        <w:t xml:space="preserve"> Above 1200m </w:t>
      </w:r>
      <w:proofErr w:type="spellStart"/>
      <w:proofErr w:type="gramStart"/>
      <w:r w:rsidRPr="002146B1">
        <w:t>asl</w:t>
      </w:r>
      <w:proofErr w:type="spellEnd"/>
      <w:proofErr w:type="gramEnd"/>
      <w:r w:rsidRPr="002146B1">
        <w:t xml:space="preserve">, but occasionally extending down to 800m </w:t>
      </w:r>
      <w:proofErr w:type="spellStart"/>
      <w:r w:rsidRPr="002146B1">
        <w:t>asl</w:t>
      </w:r>
      <w:proofErr w:type="spellEnd"/>
      <w:r w:rsidRPr="002146B1">
        <w:t xml:space="preserve">, glacial landforms and deposits (cirques and moraines) have been recorded in the Tuscan-Emilian Apennines, and are probably </w:t>
      </w:r>
      <w:proofErr w:type="spellStart"/>
      <w:r w:rsidRPr="002146B1">
        <w:t>Würm</w:t>
      </w:r>
      <w:proofErr w:type="spellEnd"/>
      <w:r w:rsidRPr="002146B1">
        <w:t xml:space="preserve"> in age</w:t>
      </w:r>
      <w:r w:rsidR="002B3EA9">
        <w:rPr>
          <w:rStyle w:val="FootnoteReference"/>
        </w:rPr>
        <w:footnoteReference w:id="7"/>
      </w:r>
      <w:r w:rsidRPr="002146B1">
        <w:t>.</w:t>
      </w:r>
      <w:r w:rsidR="006B30FB" w:rsidRPr="002146B1">
        <w:t xml:space="preserve"> The vegetation cover </w:t>
      </w:r>
      <w:proofErr w:type="gramStart"/>
      <w:r w:rsidR="006B30FB" w:rsidRPr="002146B1">
        <w:t>may be broadly divided</w:t>
      </w:r>
      <w:proofErr w:type="gramEnd"/>
      <w:r w:rsidR="006B30FB" w:rsidRPr="002146B1">
        <w:t xml:space="preserve"> into three main zones: (1) Mediterranean zone, sea level to 200m (includes </w:t>
      </w:r>
      <w:r w:rsidR="006B30FB" w:rsidRPr="002146B1">
        <w:rPr>
          <w:i/>
        </w:rPr>
        <w:t xml:space="preserve">Quercus </w:t>
      </w:r>
      <w:proofErr w:type="spellStart"/>
      <w:r w:rsidR="006B30FB" w:rsidRPr="002146B1">
        <w:rPr>
          <w:i/>
        </w:rPr>
        <w:t>suber</w:t>
      </w:r>
      <w:proofErr w:type="spellEnd"/>
      <w:r w:rsidR="006B30FB" w:rsidRPr="002146B1">
        <w:t xml:space="preserve"> and </w:t>
      </w:r>
      <w:r w:rsidR="006B30FB" w:rsidRPr="002146B1">
        <w:rPr>
          <w:i/>
        </w:rPr>
        <w:t>Q. ilex</w:t>
      </w:r>
      <w:r w:rsidR="006B30FB" w:rsidRPr="002146B1">
        <w:t xml:space="preserve">, </w:t>
      </w:r>
      <w:r w:rsidR="006B30FB" w:rsidRPr="002146B1">
        <w:rPr>
          <w:i/>
        </w:rPr>
        <w:t xml:space="preserve">Pinus </w:t>
      </w:r>
      <w:proofErr w:type="spellStart"/>
      <w:r w:rsidR="006B30FB" w:rsidRPr="002146B1">
        <w:rPr>
          <w:i/>
        </w:rPr>
        <w:t>halepensis</w:t>
      </w:r>
      <w:proofErr w:type="spellEnd"/>
      <w:r w:rsidR="006B30FB" w:rsidRPr="002146B1">
        <w:t>); (2) Sub-</w:t>
      </w:r>
      <w:proofErr w:type="spellStart"/>
      <w:r w:rsidR="006B30FB" w:rsidRPr="002146B1">
        <w:t>mediterranean</w:t>
      </w:r>
      <w:proofErr w:type="spellEnd"/>
      <w:r w:rsidR="006B30FB" w:rsidRPr="002146B1">
        <w:t xml:space="preserve"> zone, 200 to 1000m (includes </w:t>
      </w:r>
      <w:r w:rsidR="006B30FB" w:rsidRPr="002146B1">
        <w:rPr>
          <w:i/>
        </w:rPr>
        <w:t xml:space="preserve">Quercus </w:t>
      </w:r>
      <w:proofErr w:type="spellStart"/>
      <w:r w:rsidR="006B30FB" w:rsidRPr="002146B1">
        <w:rPr>
          <w:i/>
        </w:rPr>
        <w:t>pubescens</w:t>
      </w:r>
      <w:proofErr w:type="spellEnd"/>
      <w:r w:rsidR="006B30FB" w:rsidRPr="002146B1">
        <w:t xml:space="preserve">, </w:t>
      </w:r>
      <w:r w:rsidR="006B30FB" w:rsidRPr="002146B1">
        <w:rPr>
          <w:i/>
        </w:rPr>
        <w:t xml:space="preserve">Carpinus </w:t>
      </w:r>
      <w:proofErr w:type="spellStart"/>
      <w:r w:rsidR="006B30FB" w:rsidRPr="002146B1">
        <w:rPr>
          <w:i/>
        </w:rPr>
        <w:t>betulus</w:t>
      </w:r>
      <w:proofErr w:type="spellEnd"/>
      <w:r w:rsidR="006B30FB" w:rsidRPr="002146B1">
        <w:t xml:space="preserve">, </w:t>
      </w:r>
      <w:proofErr w:type="spellStart"/>
      <w:r w:rsidR="006B30FB" w:rsidRPr="002146B1">
        <w:rPr>
          <w:i/>
        </w:rPr>
        <w:t>Ostrya</w:t>
      </w:r>
      <w:proofErr w:type="spellEnd"/>
      <w:r w:rsidR="006B30FB" w:rsidRPr="002146B1">
        <w:rPr>
          <w:i/>
        </w:rPr>
        <w:t xml:space="preserve"> </w:t>
      </w:r>
      <w:proofErr w:type="spellStart"/>
      <w:r w:rsidR="006B30FB" w:rsidRPr="002146B1">
        <w:rPr>
          <w:i/>
        </w:rPr>
        <w:t>carpinifolia</w:t>
      </w:r>
      <w:proofErr w:type="spellEnd"/>
      <w:r w:rsidR="006B30FB" w:rsidRPr="002146B1">
        <w:t xml:space="preserve"> and </w:t>
      </w:r>
      <w:proofErr w:type="spellStart"/>
      <w:r w:rsidR="006B30FB" w:rsidRPr="002146B1">
        <w:rPr>
          <w:i/>
        </w:rPr>
        <w:t>Castanea</w:t>
      </w:r>
      <w:proofErr w:type="spellEnd"/>
      <w:r w:rsidR="006B30FB" w:rsidRPr="002146B1">
        <w:rPr>
          <w:i/>
        </w:rPr>
        <w:t xml:space="preserve"> </w:t>
      </w:r>
      <w:proofErr w:type="spellStart"/>
      <w:r w:rsidR="006B30FB" w:rsidRPr="002146B1">
        <w:rPr>
          <w:i/>
        </w:rPr>
        <w:t>sativa</w:t>
      </w:r>
      <w:proofErr w:type="spellEnd"/>
      <w:r w:rsidR="006B30FB" w:rsidRPr="002146B1">
        <w:t xml:space="preserve">); (3) Montane zone, 1000 to 1500m (includes </w:t>
      </w:r>
      <w:r w:rsidR="006B30FB" w:rsidRPr="002146B1">
        <w:rPr>
          <w:i/>
        </w:rPr>
        <w:t>Fagus sylvatica</w:t>
      </w:r>
      <w:r w:rsidR="006B30FB" w:rsidRPr="002146B1">
        <w:t xml:space="preserve">, </w:t>
      </w:r>
      <w:r w:rsidR="006B30FB" w:rsidRPr="002146B1">
        <w:rPr>
          <w:i/>
        </w:rPr>
        <w:t>Quercus</w:t>
      </w:r>
      <w:r w:rsidR="006B30FB" w:rsidRPr="002146B1">
        <w:t xml:space="preserve"> </w:t>
      </w:r>
      <w:proofErr w:type="spellStart"/>
      <w:r w:rsidR="006B30FB" w:rsidRPr="002146B1">
        <w:rPr>
          <w:i/>
        </w:rPr>
        <w:t>pubescens</w:t>
      </w:r>
      <w:proofErr w:type="spellEnd"/>
      <w:r w:rsidR="006B30FB" w:rsidRPr="002146B1">
        <w:t xml:space="preserve">, </w:t>
      </w:r>
      <w:proofErr w:type="spellStart"/>
      <w:r w:rsidR="006B30FB" w:rsidRPr="002146B1">
        <w:rPr>
          <w:i/>
        </w:rPr>
        <w:t>Ostrya</w:t>
      </w:r>
      <w:proofErr w:type="spellEnd"/>
      <w:r w:rsidR="006B30FB" w:rsidRPr="002146B1">
        <w:rPr>
          <w:i/>
        </w:rPr>
        <w:t xml:space="preserve"> </w:t>
      </w:r>
      <w:proofErr w:type="spellStart"/>
      <w:r w:rsidR="006B30FB" w:rsidRPr="002146B1">
        <w:rPr>
          <w:i/>
        </w:rPr>
        <w:t>carpinifolia</w:t>
      </w:r>
      <w:proofErr w:type="spellEnd"/>
      <w:r w:rsidR="006B30FB" w:rsidRPr="002146B1">
        <w:t xml:space="preserve">, </w:t>
      </w:r>
      <w:r w:rsidR="006B30FB" w:rsidRPr="002146B1">
        <w:rPr>
          <w:i/>
        </w:rPr>
        <w:t xml:space="preserve">Pinus </w:t>
      </w:r>
      <w:proofErr w:type="spellStart"/>
      <w:r w:rsidR="006B30FB" w:rsidRPr="002146B1">
        <w:rPr>
          <w:i/>
        </w:rPr>
        <w:t>sylvestris</w:t>
      </w:r>
      <w:proofErr w:type="spellEnd"/>
      <w:r w:rsidR="006B30FB" w:rsidRPr="002146B1">
        <w:t xml:space="preserve"> and </w:t>
      </w:r>
      <w:r w:rsidR="006B30FB" w:rsidRPr="002146B1">
        <w:rPr>
          <w:i/>
        </w:rPr>
        <w:t xml:space="preserve">Corylus </w:t>
      </w:r>
      <w:proofErr w:type="spellStart"/>
      <w:r w:rsidR="006B30FB" w:rsidRPr="002146B1">
        <w:rPr>
          <w:i/>
        </w:rPr>
        <w:t>avellana</w:t>
      </w:r>
      <w:proofErr w:type="spellEnd"/>
      <w:r w:rsidR="006B30FB" w:rsidRPr="002146B1">
        <w:t>).</w:t>
      </w:r>
    </w:p>
    <w:p w:rsidR="003724E0" w:rsidRPr="002146B1" w:rsidRDefault="003724E0" w:rsidP="003724E0">
      <w:pPr>
        <w:jc w:val="both"/>
      </w:pPr>
    </w:p>
    <w:p w:rsidR="002739AF" w:rsidRPr="002146B1" w:rsidRDefault="002739AF" w:rsidP="003724E0">
      <w:pPr>
        <w:jc w:val="both"/>
      </w:pPr>
      <w:r w:rsidRPr="002146B1">
        <w:t xml:space="preserve">The archaeological scheme indicates that lowland-inland and coastal areas were the geographical foci for </w:t>
      </w:r>
      <w:r w:rsidR="004402FE" w:rsidRPr="002146B1">
        <w:t xml:space="preserve">occupation during the Upper </w:t>
      </w:r>
      <w:r w:rsidR="003A44F2" w:rsidRPr="002146B1">
        <w:t>Palaeolithic</w:t>
      </w:r>
      <w:r w:rsidR="004402FE" w:rsidRPr="002146B1">
        <w:t xml:space="preserve"> and </w:t>
      </w:r>
      <w:r w:rsidRPr="002146B1">
        <w:t>during the Early and Middle Neolithic (~7800-6100 cal yrs BP; ‘Impressed Ware’ and ‘Square Mouthed’ pottery cultures)</w:t>
      </w:r>
      <w:r w:rsidR="00BD5806">
        <w:t xml:space="preserve"> (fig. 2 and fig. 3a)</w:t>
      </w:r>
      <w:r w:rsidRPr="002146B1">
        <w:t xml:space="preserve">. </w:t>
      </w:r>
      <w:r w:rsidR="004402FE" w:rsidRPr="002146B1">
        <w:t>Mesolithic sites were situated</w:t>
      </w:r>
      <w:r w:rsidR="003A44F2" w:rsidRPr="002146B1">
        <w:t xml:space="preserve"> at mid and high elevations from ~11,700-7800 cal yrs BP</w:t>
      </w:r>
      <w:r w:rsidR="00BD5806">
        <w:t xml:space="preserve"> (fig. 2)</w:t>
      </w:r>
      <w:r w:rsidR="003A44F2" w:rsidRPr="002146B1">
        <w:t>.</w:t>
      </w:r>
      <w:r w:rsidR="00314945">
        <w:t xml:space="preserve"> </w:t>
      </w:r>
      <w:r w:rsidRPr="002146B1">
        <w:t xml:space="preserve">By the Late Neolithic (~6100 cal yrs BP; ‘Chassey’ culture) farming practices were taking place over a wide altitudinal range (~800-1500m </w:t>
      </w:r>
      <w:proofErr w:type="spellStart"/>
      <w:r w:rsidRPr="002146B1">
        <w:t>asl</w:t>
      </w:r>
      <w:proofErr w:type="spellEnd"/>
      <w:r w:rsidRPr="002146B1">
        <w:t>)</w:t>
      </w:r>
      <w:r w:rsidR="006D49A6" w:rsidRPr="002146B1">
        <w:t>. T</w:t>
      </w:r>
      <w:r w:rsidRPr="002146B1">
        <w:t xml:space="preserve">hese practices continued into the Copper Age (~5800-4200 cal yrs BP) </w:t>
      </w:r>
      <w:r w:rsidR="006D49A6" w:rsidRPr="002146B1">
        <w:t xml:space="preserve">and Early Bronze Age (~4200-3800 cal yrs BP) </w:t>
      </w:r>
      <w:r w:rsidRPr="002146B1">
        <w:t>with the creation of ke</w:t>
      </w:r>
      <w:r w:rsidR="003A44F2" w:rsidRPr="002146B1">
        <w:t>y sites on important watersheds</w:t>
      </w:r>
      <w:r w:rsidR="00BD5806">
        <w:t xml:space="preserve"> (fig. 3b)</w:t>
      </w:r>
      <w:r w:rsidR="003A44F2" w:rsidRPr="002146B1">
        <w:t xml:space="preserve">. </w:t>
      </w:r>
      <w:r w:rsidR="006D49A6" w:rsidRPr="002146B1">
        <w:t>During the Mid-Late Bronze Age (~3800-2900 cal yrs BP</w:t>
      </w:r>
      <w:r w:rsidR="00295C93" w:rsidRPr="002146B1">
        <w:t>)</w:t>
      </w:r>
      <w:r w:rsidR="006D49A6" w:rsidRPr="002146B1">
        <w:t>, t</w:t>
      </w:r>
      <w:r w:rsidRPr="002146B1">
        <w:t>he record indicates a change in the organisation of settlements and mana</w:t>
      </w:r>
      <w:r w:rsidR="006D49A6" w:rsidRPr="002146B1">
        <w:t>gement of landscape resources</w:t>
      </w:r>
      <w:r w:rsidR="00D40236">
        <w:rPr>
          <w:rStyle w:val="FootnoteReference"/>
        </w:rPr>
        <w:footnoteReference w:id="8"/>
      </w:r>
      <w:r w:rsidR="006D49A6" w:rsidRPr="002146B1">
        <w:t>.</w:t>
      </w:r>
    </w:p>
    <w:p w:rsidR="002739AF" w:rsidRPr="00403791" w:rsidRDefault="002739AF" w:rsidP="003724E0">
      <w:pPr>
        <w:jc w:val="both"/>
      </w:pPr>
    </w:p>
    <w:p w:rsidR="004B649A" w:rsidRDefault="004E0E78" w:rsidP="003724E0">
      <w:pPr>
        <w:jc w:val="both"/>
      </w:pPr>
      <w:r w:rsidRPr="002146B1">
        <w:t>Rovegno (44</w:t>
      </w:r>
      <w:r w:rsidRPr="002146B1">
        <w:rPr>
          <w:vertAlign w:val="superscript"/>
        </w:rPr>
        <w:t>0</w:t>
      </w:r>
      <w:r w:rsidRPr="002146B1">
        <w:rPr>
          <w:position w:val="6"/>
        </w:rPr>
        <w:t xml:space="preserve"> </w:t>
      </w:r>
      <w:r w:rsidRPr="002146B1">
        <w:t>34' 33" N 9</w:t>
      </w:r>
      <w:r w:rsidRPr="002146B1">
        <w:rPr>
          <w:vertAlign w:val="superscript"/>
        </w:rPr>
        <w:t>0</w:t>
      </w:r>
      <w:r w:rsidR="00500292">
        <w:rPr>
          <w:vertAlign w:val="superscript"/>
        </w:rPr>
        <w:t xml:space="preserve"> </w:t>
      </w:r>
      <w:r w:rsidRPr="002146B1">
        <w:t>17' 12" E) is located at an altitude of 812m on the eastern side of the upper Trebbia valley and near to the small town of Rovegno</w:t>
      </w:r>
      <w:r w:rsidR="00BD5806">
        <w:t xml:space="preserve"> (fig. 1)</w:t>
      </w:r>
      <w:r w:rsidRPr="002146B1">
        <w:t xml:space="preserve">. The site is a small </w:t>
      </w:r>
      <w:r w:rsidRPr="002146B1">
        <w:lastRenderedPageBreak/>
        <w:t>mire basin, approximately 75m in length (longest axis) and 55m in width, and with a catchment area of approximately 0.6km</w:t>
      </w:r>
      <w:r w:rsidRPr="002146B1">
        <w:rPr>
          <w:vertAlign w:val="superscript"/>
        </w:rPr>
        <w:t>2</w:t>
      </w:r>
      <w:r w:rsidRPr="002146B1">
        <w:t xml:space="preserve">. Two streams that drain in a northwest direction towards the </w:t>
      </w:r>
      <w:proofErr w:type="spellStart"/>
      <w:r w:rsidRPr="002146B1">
        <w:t>Fosso</w:t>
      </w:r>
      <w:proofErr w:type="spellEnd"/>
      <w:r w:rsidRPr="002146B1">
        <w:t xml:space="preserve"> del </w:t>
      </w:r>
      <w:proofErr w:type="spellStart"/>
      <w:r w:rsidRPr="002146B1">
        <w:t>Riccio</w:t>
      </w:r>
      <w:proofErr w:type="spellEnd"/>
      <w:r w:rsidRPr="002146B1">
        <w:t xml:space="preserve"> and River Trebbia dissect the basin. Southeast of the basin the topography rises to 825m and forms the </w:t>
      </w:r>
      <w:proofErr w:type="spellStart"/>
      <w:r w:rsidRPr="002146B1">
        <w:t>Pian</w:t>
      </w:r>
      <w:proofErr w:type="spellEnd"/>
      <w:r w:rsidRPr="002146B1">
        <w:t xml:space="preserve"> di </w:t>
      </w:r>
      <w:proofErr w:type="spellStart"/>
      <w:r w:rsidRPr="002146B1">
        <w:t>Prao</w:t>
      </w:r>
      <w:proofErr w:type="spellEnd"/>
      <w:r w:rsidRPr="002146B1">
        <w:t xml:space="preserve">, a plain that extends to approximately 875m below the slopes of </w:t>
      </w:r>
      <w:proofErr w:type="spellStart"/>
      <w:r w:rsidRPr="002146B1">
        <w:t>Poggio</w:t>
      </w:r>
      <w:proofErr w:type="spellEnd"/>
      <w:r w:rsidRPr="002146B1">
        <w:t xml:space="preserve"> Carmine (1097m). The geology consists of lower Cretaceous and upper Jurassic </w:t>
      </w:r>
      <w:proofErr w:type="spellStart"/>
      <w:r w:rsidRPr="002146B1">
        <w:t>ophiolitic</w:t>
      </w:r>
      <w:proofErr w:type="spellEnd"/>
      <w:r w:rsidRPr="002146B1">
        <w:t xml:space="preserve"> complexes and Jasper outcrops, extensive colluvial deposits and some Palaeocene sandstones ('Casanova'). The Carta </w:t>
      </w:r>
      <w:proofErr w:type="spellStart"/>
      <w:r w:rsidRPr="002146B1">
        <w:t>Geologica</w:t>
      </w:r>
      <w:proofErr w:type="spellEnd"/>
      <w:r w:rsidRPr="002146B1">
        <w:t xml:space="preserve"> </w:t>
      </w:r>
      <w:proofErr w:type="spellStart"/>
      <w:r w:rsidRPr="002146B1">
        <w:t>d'Italia</w:t>
      </w:r>
      <w:proofErr w:type="spellEnd"/>
      <w:r w:rsidRPr="002146B1">
        <w:t xml:space="preserve"> (</w:t>
      </w:r>
      <w:proofErr w:type="spellStart"/>
      <w:r w:rsidRPr="002146B1">
        <w:t>Foglio</w:t>
      </w:r>
      <w:proofErr w:type="spellEnd"/>
      <w:r w:rsidRPr="002146B1">
        <w:t xml:space="preserve"> 83) has also mapped areas of glacial drift deposits, mainly in the area between </w:t>
      </w:r>
      <w:proofErr w:type="spellStart"/>
      <w:r w:rsidRPr="002146B1">
        <w:t>Fontanigorda</w:t>
      </w:r>
      <w:proofErr w:type="spellEnd"/>
      <w:r w:rsidRPr="002146B1">
        <w:t xml:space="preserve"> and Casanova. The present day mire vegetation is dominated by species of Poaceae, </w:t>
      </w:r>
      <w:r w:rsidRPr="002146B1">
        <w:rPr>
          <w:i/>
        </w:rPr>
        <w:t>Equisetum</w:t>
      </w:r>
      <w:r w:rsidRPr="002146B1">
        <w:t xml:space="preserve"> sp., </w:t>
      </w:r>
      <w:r w:rsidRPr="002146B1">
        <w:rPr>
          <w:i/>
        </w:rPr>
        <w:t>Ranunculus</w:t>
      </w:r>
      <w:r w:rsidRPr="002146B1">
        <w:t xml:space="preserve"> sp. and </w:t>
      </w:r>
      <w:proofErr w:type="spellStart"/>
      <w:r w:rsidRPr="002146B1">
        <w:rPr>
          <w:i/>
        </w:rPr>
        <w:t>Mentha</w:t>
      </w:r>
      <w:proofErr w:type="spellEnd"/>
      <w:r w:rsidRPr="002146B1">
        <w:rPr>
          <w:i/>
        </w:rPr>
        <w:t xml:space="preserve"> </w:t>
      </w:r>
      <w:proofErr w:type="spellStart"/>
      <w:r w:rsidRPr="002146B1">
        <w:rPr>
          <w:i/>
        </w:rPr>
        <w:t>aquatica</w:t>
      </w:r>
      <w:proofErr w:type="spellEnd"/>
      <w:r w:rsidRPr="002146B1">
        <w:t xml:space="preserve">. The dryland vegetation is dominated by </w:t>
      </w:r>
      <w:proofErr w:type="spellStart"/>
      <w:r w:rsidRPr="002146B1">
        <w:rPr>
          <w:i/>
        </w:rPr>
        <w:t>Castanea</w:t>
      </w:r>
      <w:proofErr w:type="spellEnd"/>
      <w:r w:rsidRPr="002146B1">
        <w:rPr>
          <w:i/>
        </w:rPr>
        <w:t xml:space="preserve"> </w:t>
      </w:r>
      <w:proofErr w:type="spellStart"/>
      <w:r w:rsidRPr="002146B1">
        <w:rPr>
          <w:i/>
        </w:rPr>
        <w:t>sativa</w:t>
      </w:r>
      <w:proofErr w:type="spellEnd"/>
      <w:r w:rsidRPr="002146B1">
        <w:t xml:space="preserve">, </w:t>
      </w:r>
      <w:r w:rsidRPr="002146B1">
        <w:rPr>
          <w:i/>
        </w:rPr>
        <w:t xml:space="preserve">Corylus </w:t>
      </w:r>
      <w:proofErr w:type="spellStart"/>
      <w:r w:rsidRPr="002146B1">
        <w:rPr>
          <w:i/>
        </w:rPr>
        <w:t>avellana</w:t>
      </w:r>
      <w:proofErr w:type="spellEnd"/>
      <w:r w:rsidRPr="002146B1">
        <w:t xml:space="preserve"> (coppiced) and </w:t>
      </w:r>
      <w:r w:rsidRPr="002146B1">
        <w:rPr>
          <w:i/>
        </w:rPr>
        <w:t xml:space="preserve">Fagus sylvatica </w:t>
      </w:r>
      <w:r w:rsidRPr="002146B1">
        <w:t xml:space="preserve">(coppiced), with </w:t>
      </w:r>
      <w:r w:rsidRPr="002146B1">
        <w:rPr>
          <w:i/>
        </w:rPr>
        <w:t xml:space="preserve">Pinus </w:t>
      </w:r>
      <w:proofErr w:type="spellStart"/>
      <w:r w:rsidRPr="002146B1">
        <w:rPr>
          <w:i/>
        </w:rPr>
        <w:t>sylvestris</w:t>
      </w:r>
      <w:proofErr w:type="spellEnd"/>
      <w:r w:rsidRPr="002146B1">
        <w:t xml:space="preserve">, </w:t>
      </w:r>
      <w:r w:rsidRPr="002146B1">
        <w:rPr>
          <w:i/>
        </w:rPr>
        <w:t xml:space="preserve">Quercus </w:t>
      </w:r>
      <w:proofErr w:type="spellStart"/>
      <w:r w:rsidRPr="002146B1">
        <w:rPr>
          <w:i/>
        </w:rPr>
        <w:t>robur</w:t>
      </w:r>
      <w:proofErr w:type="spellEnd"/>
      <w:r w:rsidRPr="002146B1">
        <w:t xml:space="preserve">, </w:t>
      </w:r>
      <w:proofErr w:type="spellStart"/>
      <w:r w:rsidRPr="002146B1">
        <w:rPr>
          <w:i/>
        </w:rPr>
        <w:t>Prunus</w:t>
      </w:r>
      <w:proofErr w:type="spellEnd"/>
      <w:r w:rsidRPr="002146B1">
        <w:t xml:space="preserve"> sp. and </w:t>
      </w:r>
      <w:r w:rsidRPr="002146B1">
        <w:rPr>
          <w:i/>
        </w:rPr>
        <w:t xml:space="preserve">Pteridium </w:t>
      </w:r>
      <w:proofErr w:type="spellStart"/>
      <w:r w:rsidRPr="002146B1">
        <w:rPr>
          <w:i/>
        </w:rPr>
        <w:t>aquilinum</w:t>
      </w:r>
      <w:proofErr w:type="spellEnd"/>
      <w:r w:rsidRPr="002146B1">
        <w:rPr>
          <w:i/>
        </w:rPr>
        <w:t>.</w:t>
      </w:r>
      <w:r w:rsidR="004B649A" w:rsidRPr="002146B1">
        <w:rPr>
          <w:i/>
        </w:rPr>
        <w:t xml:space="preserve"> </w:t>
      </w:r>
      <w:r w:rsidR="004B649A" w:rsidRPr="002146B1">
        <w:t xml:space="preserve">Prato Spilla ‘A’ </w:t>
      </w:r>
      <w:r w:rsidR="00A33E9B" w:rsidRPr="002146B1">
        <w:t>(44</w:t>
      </w:r>
      <w:r w:rsidR="00A33E9B" w:rsidRPr="002146B1">
        <w:rPr>
          <w:vertAlign w:val="superscript"/>
        </w:rPr>
        <w:t>0</w:t>
      </w:r>
      <w:r w:rsidR="00A33E9B" w:rsidRPr="002146B1">
        <w:rPr>
          <w:position w:val="6"/>
        </w:rPr>
        <w:t xml:space="preserve"> </w:t>
      </w:r>
      <w:r w:rsidR="00A33E9B" w:rsidRPr="002146B1">
        <w:t>21' N 02</w:t>
      </w:r>
      <w:r w:rsidR="00A33E9B" w:rsidRPr="002146B1">
        <w:rPr>
          <w:vertAlign w:val="superscript"/>
        </w:rPr>
        <w:t>0</w:t>
      </w:r>
      <w:r w:rsidR="00A33E9B" w:rsidRPr="002146B1">
        <w:rPr>
          <w:position w:val="6"/>
        </w:rPr>
        <w:t xml:space="preserve"> </w:t>
      </w:r>
      <w:r w:rsidR="00A33E9B" w:rsidRPr="002146B1">
        <w:t>21' W) is located at 1550m</w:t>
      </w:r>
      <w:r w:rsidR="00FB1845" w:rsidRPr="002146B1">
        <w:t xml:space="preserve">, at the source of the Rio </w:t>
      </w:r>
      <w:proofErr w:type="spellStart"/>
      <w:r w:rsidR="00FB1845" w:rsidRPr="002146B1">
        <w:t>Cedra</w:t>
      </w:r>
      <w:proofErr w:type="spellEnd"/>
      <w:r w:rsidR="00BD5806">
        <w:t xml:space="preserve"> (fig. 1)</w:t>
      </w:r>
      <w:r w:rsidR="00FB1845" w:rsidRPr="002146B1">
        <w:t>. It is a small basin</w:t>
      </w:r>
      <w:r w:rsidR="00A33E9B" w:rsidRPr="002146B1">
        <w:t xml:space="preserve"> measuring approximately 90m in length (longest axis) and 50m in width</w:t>
      </w:r>
      <w:r w:rsidR="00FB1845" w:rsidRPr="002146B1">
        <w:t xml:space="preserve">, </w:t>
      </w:r>
      <w:r w:rsidR="00DC7C53" w:rsidRPr="002146B1">
        <w:t>“</w:t>
      </w:r>
      <w:r w:rsidR="00FB1845" w:rsidRPr="002146B1">
        <w:t xml:space="preserve">up-valley from a </w:t>
      </w:r>
      <w:r w:rsidR="00DC7C53" w:rsidRPr="002146B1">
        <w:t>prominent moraine ridge”</w:t>
      </w:r>
      <w:r w:rsidR="00D40236">
        <w:rPr>
          <w:rStyle w:val="FootnoteReference"/>
        </w:rPr>
        <w:footnoteReference w:id="9"/>
      </w:r>
      <w:r w:rsidR="004B649A" w:rsidRPr="002146B1">
        <w:t>.</w:t>
      </w:r>
    </w:p>
    <w:p w:rsidR="00BD5806" w:rsidRPr="002146B1" w:rsidRDefault="00BD5806" w:rsidP="003724E0">
      <w:pPr>
        <w:jc w:val="both"/>
      </w:pPr>
    </w:p>
    <w:p w:rsidR="00BF3702" w:rsidRDefault="00BF3702" w:rsidP="003724E0">
      <w:pPr>
        <w:jc w:val="both"/>
        <w:rPr>
          <w:b/>
        </w:rPr>
      </w:pPr>
      <w:r>
        <w:rPr>
          <w:b/>
        </w:rPr>
        <w:t>Methods</w:t>
      </w:r>
    </w:p>
    <w:p w:rsidR="00BF3702" w:rsidRDefault="00BF3702" w:rsidP="003724E0">
      <w:pPr>
        <w:jc w:val="both"/>
        <w:rPr>
          <w:b/>
        </w:rPr>
      </w:pPr>
    </w:p>
    <w:p w:rsidR="00F94FBF" w:rsidRPr="00BF3702" w:rsidRDefault="00BF3702" w:rsidP="003724E0">
      <w:pPr>
        <w:jc w:val="both"/>
        <w:rPr>
          <w:b/>
          <w:i/>
        </w:rPr>
      </w:pPr>
      <w:r w:rsidRPr="00BF3702">
        <w:rPr>
          <w:b/>
          <w:i/>
        </w:rPr>
        <w:t>Rovegno</w:t>
      </w:r>
    </w:p>
    <w:p w:rsidR="00E92091" w:rsidRPr="002146B1" w:rsidRDefault="00E92091" w:rsidP="003724E0">
      <w:pPr>
        <w:jc w:val="both"/>
      </w:pPr>
      <w:r w:rsidRPr="002146B1">
        <w:t>The field survey procedures involved auguring and coring to establish the sub-surface sediment architecture and suitable locations for sampling for palaeoecological analyses. Core samples were obtained using a Stitz percussion corer, and the physical properties, composition and humification of the sediments recorded using the Troels-Smith procedure</w:t>
      </w:r>
      <w:r w:rsidR="004E4CE9">
        <w:rPr>
          <w:rStyle w:val="FootnoteReference"/>
        </w:rPr>
        <w:footnoteReference w:id="10"/>
      </w:r>
      <w:r w:rsidRPr="002146B1">
        <w:t>. Pollen grains and spores were extracted following standard procedures, involving sub-sampling 1cm</w:t>
      </w:r>
      <w:r w:rsidRPr="002146B1">
        <w:rPr>
          <w:vertAlign w:val="superscript"/>
        </w:rPr>
        <w:t>3</w:t>
      </w:r>
      <w:r w:rsidRPr="002146B1">
        <w:t xml:space="preserve"> using a volumetric sampler, dispersal in 1% Sodium pyrophosphate, sieving through 5µm and 150µm meshes to remove fine and coarse mineral and organic matter, removal of mineral matter using Sodium polytungstate (specific gravity of 2g/cm</w:t>
      </w:r>
      <w:r w:rsidRPr="002146B1">
        <w:rPr>
          <w:vertAlign w:val="superscript"/>
        </w:rPr>
        <w:t>3</w:t>
      </w:r>
      <w:r w:rsidRPr="002146B1">
        <w:t>), acetolysis and mounting in glycerol jelly</w:t>
      </w:r>
      <w:r w:rsidR="004936DC">
        <w:rPr>
          <w:rStyle w:val="FootnoteReference"/>
        </w:rPr>
        <w:footnoteReference w:id="11"/>
      </w:r>
      <w:r w:rsidRPr="002146B1">
        <w:t xml:space="preserve">. Pollen grains and spores were identified using type collections </w:t>
      </w:r>
      <w:r w:rsidRPr="00D25DD3">
        <w:t>and the following sources of keys and photographs</w:t>
      </w:r>
      <w:r w:rsidR="00CB50A6" w:rsidRPr="00D25DD3">
        <w:rPr>
          <w:rStyle w:val="FootnoteReference"/>
        </w:rPr>
        <w:footnoteReference w:id="12"/>
      </w:r>
      <w:r w:rsidRPr="00D25DD3">
        <w:t>.</w:t>
      </w:r>
      <w:r w:rsidRPr="002146B1">
        <w:t xml:space="preserve"> Plant nomenclature follows the Flora </w:t>
      </w:r>
      <w:proofErr w:type="spellStart"/>
      <w:r w:rsidRPr="002146B1">
        <w:t>Europaea</w:t>
      </w:r>
      <w:proofErr w:type="spellEnd"/>
      <w:r w:rsidRPr="002146B1">
        <w:t>.</w:t>
      </w:r>
    </w:p>
    <w:p w:rsidR="00E92091" w:rsidRPr="00403791" w:rsidRDefault="00E92091" w:rsidP="003724E0">
      <w:pPr>
        <w:jc w:val="both"/>
      </w:pPr>
    </w:p>
    <w:p w:rsidR="00BF3702" w:rsidRPr="002146B1" w:rsidRDefault="00E92091" w:rsidP="003724E0">
      <w:pPr>
        <w:jc w:val="both"/>
      </w:pPr>
      <w:r w:rsidRPr="002146B1">
        <w:t>A total of 300 pollen grains (excluding aquatics and spores) were recorded for each sample. The results are expressed as a percentage of total land pollen (trees, shrubs and herbs) and divided into eleven local pollen assemblage zones (LPAZs ROV-1 to ROV-11). Zonation of the pollen diagram into Local Pollen Assemblage Zones (LPAZ) was carried out using constrained cluster analysis within TILIA2 (not shown; calculated using Edwards and Cavalli-Sforza chord distance [square root transformation]), coupled with visual discrimination of the main and subsidiary changes in pollen stratigraphy</w:t>
      </w:r>
      <w:r w:rsidR="00CB50A6">
        <w:rPr>
          <w:rStyle w:val="FootnoteReference"/>
        </w:rPr>
        <w:footnoteReference w:id="13"/>
      </w:r>
      <w:r w:rsidRPr="002146B1">
        <w:t>. The radiocarbon determinations were calibrated using the maximum intercept method</w:t>
      </w:r>
      <w:r w:rsidR="00CB50A6">
        <w:rPr>
          <w:rStyle w:val="FootnoteReference"/>
        </w:rPr>
        <w:footnoteReference w:id="14"/>
      </w:r>
      <w:r w:rsidRPr="002146B1">
        <w:t xml:space="preserve">, </w:t>
      </w:r>
      <w:proofErr w:type="spellStart"/>
      <w:r w:rsidRPr="002146B1">
        <w:t>OxCal</w:t>
      </w:r>
      <w:proofErr w:type="spellEnd"/>
      <w:r w:rsidRPr="002146B1">
        <w:t xml:space="preserve"> version 4.0.1</w:t>
      </w:r>
      <w:r w:rsidR="00CB50A6">
        <w:rPr>
          <w:rStyle w:val="FootnoteReference"/>
        </w:rPr>
        <w:footnoteReference w:id="15"/>
      </w:r>
      <w:r w:rsidRPr="002146B1">
        <w:t>, and the internationally agreed dataset for terrestrial samples from the northern hemisphere</w:t>
      </w:r>
      <w:r w:rsidR="00CB50A6">
        <w:rPr>
          <w:rStyle w:val="FootnoteReference"/>
        </w:rPr>
        <w:footnoteReference w:id="16"/>
      </w:r>
      <w:r w:rsidRPr="002146B1">
        <w:t>. The full age range (rounded to 10 years) is quoted as ‘cal yrs BP’.</w:t>
      </w:r>
    </w:p>
    <w:p w:rsidR="004E7FA1" w:rsidRDefault="004E7FA1" w:rsidP="003724E0">
      <w:pPr>
        <w:jc w:val="both"/>
        <w:rPr>
          <w:b/>
          <w:i/>
        </w:rPr>
      </w:pPr>
    </w:p>
    <w:p w:rsidR="00BF3702" w:rsidRPr="00BF3702" w:rsidRDefault="00BF3702" w:rsidP="003724E0">
      <w:pPr>
        <w:jc w:val="both"/>
        <w:rPr>
          <w:b/>
          <w:i/>
        </w:rPr>
      </w:pPr>
      <w:r w:rsidRPr="00BF3702">
        <w:rPr>
          <w:b/>
          <w:i/>
        </w:rPr>
        <w:lastRenderedPageBreak/>
        <w:t>Prato Spilla ‘A’</w:t>
      </w:r>
    </w:p>
    <w:p w:rsidR="00BF3702" w:rsidRPr="002146B1" w:rsidRDefault="00BF3702" w:rsidP="003724E0">
      <w:pPr>
        <w:spacing w:after="240"/>
        <w:contextualSpacing/>
        <w:jc w:val="both"/>
        <w:rPr>
          <w:lang w:val="en-US"/>
        </w:rPr>
      </w:pPr>
      <w:r w:rsidRPr="002146B1">
        <w:rPr>
          <w:lang w:val="en-US"/>
        </w:rPr>
        <w:t>The field investigations involved taking a 730cm long core using a Russian peat sampler from the central part of the basin</w:t>
      </w:r>
      <w:r w:rsidR="00BD5806">
        <w:rPr>
          <w:lang w:val="en-US"/>
        </w:rPr>
        <w:t xml:space="preserve"> (fig. 4)</w:t>
      </w:r>
      <w:r w:rsidRPr="002146B1">
        <w:rPr>
          <w:lang w:val="en-US"/>
        </w:rPr>
        <w:t>. Subsamples of 1cm</w:t>
      </w:r>
      <w:r w:rsidRPr="002146B1">
        <w:rPr>
          <w:vertAlign w:val="superscript"/>
          <w:lang w:val="en-US"/>
        </w:rPr>
        <w:t>3</w:t>
      </w:r>
      <w:r w:rsidRPr="002146B1">
        <w:rPr>
          <w:lang w:val="en-US"/>
        </w:rPr>
        <w:t xml:space="preserve"> were taken from the core every 8cm from the part of the sequence comprised between 730-602cm, and every 16cm between 602 and 442cm, for analysis of the non-pollen palynomorphs</w:t>
      </w:r>
      <w:r w:rsidR="00E33047" w:rsidRPr="002146B1">
        <w:rPr>
          <w:lang w:val="en-US"/>
        </w:rPr>
        <w:t xml:space="preserve"> (NPP)</w:t>
      </w:r>
      <w:r w:rsidRPr="002146B1">
        <w:rPr>
          <w:lang w:val="en-US"/>
        </w:rPr>
        <w:t xml:space="preserve">. The core has then been </w:t>
      </w:r>
      <w:r w:rsidR="00E33047" w:rsidRPr="002146B1">
        <w:rPr>
          <w:lang w:val="en-US"/>
        </w:rPr>
        <w:t>correlated to previous work</w:t>
      </w:r>
      <w:r w:rsidR="00C01315">
        <w:rPr>
          <w:rStyle w:val="FootnoteReference"/>
          <w:lang w:val="en-US"/>
        </w:rPr>
        <w:footnoteReference w:id="17"/>
      </w:r>
      <w:r w:rsidR="00C01315">
        <w:rPr>
          <w:lang w:val="en-US"/>
        </w:rPr>
        <w:t xml:space="preserve"> </w:t>
      </w:r>
      <w:r w:rsidR="00E33047" w:rsidRPr="002146B1">
        <w:rPr>
          <w:lang w:val="en-US"/>
        </w:rPr>
        <w:t>based on</w:t>
      </w:r>
      <w:r w:rsidRPr="002146B1">
        <w:rPr>
          <w:lang w:val="en-US"/>
        </w:rPr>
        <w:t xml:space="preserve"> the main pollen phases and depositional discontinuities</w:t>
      </w:r>
      <w:r w:rsidR="00C01315">
        <w:rPr>
          <w:rStyle w:val="FootnoteReference"/>
          <w:lang w:val="en-US"/>
        </w:rPr>
        <w:footnoteReference w:id="18"/>
      </w:r>
      <w:r w:rsidR="00E33047" w:rsidRPr="002146B1">
        <w:rPr>
          <w:lang w:val="en-US"/>
        </w:rPr>
        <w:t xml:space="preserve">. </w:t>
      </w:r>
      <w:r w:rsidRPr="002146B1">
        <w:rPr>
          <w:lang w:val="en-US"/>
        </w:rPr>
        <w:t>Microscope slides were prepared at the University of Reading following acetolysis treatment prior to mounting in glycerol jelly</w:t>
      </w:r>
      <w:r w:rsidR="00C01315">
        <w:rPr>
          <w:rStyle w:val="FootnoteReference"/>
          <w:lang w:val="en-US"/>
        </w:rPr>
        <w:footnoteReference w:id="19"/>
      </w:r>
      <w:r w:rsidRPr="002146B1">
        <w:rPr>
          <w:lang w:val="en-US"/>
        </w:rPr>
        <w:t xml:space="preserve">. A high number of microfossils have </w:t>
      </w:r>
      <w:r w:rsidR="00E33047" w:rsidRPr="002146B1">
        <w:rPr>
          <w:lang w:val="en-US"/>
        </w:rPr>
        <w:t xml:space="preserve">also </w:t>
      </w:r>
      <w:r w:rsidRPr="002146B1">
        <w:rPr>
          <w:lang w:val="en-US"/>
        </w:rPr>
        <w:t>been identified in oil immersion at x1000 magnification. NPP values are expressed as percentages of Total Non-Pollen Palynomorph Sum (TNPP)</w:t>
      </w:r>
      <w:r w:rsidR="00C01315">
        <w:rPr>
          <w:rStyle w:val="FootnoteReference"/>
          <w:lang w:val="en-US"/>
        </w:rPr>
        <w:footnoteReference w:id="20"/>
      </w:r>
      <w:r w:rsidRPr="002146B1">
        <w:rPr>
          <w:lang w:val="en-US"/>
        </w:rPr>
        <w:t>. Slides from modern samples and a number of articles were used as reference</w:t>
      </w:r>
      <w:r w:rsidR="00E33047" w:rsidRPr="002146B1">
        <w:rPr>
          <w:lang w:val="en-US"/>
        </w:rPr>
        <w:t xml:space="preserve"> material for the identifications</w:t>
      </w:r>
      <w:r w:rsidR="00C01315">
        <w:rPr>
          <w:rStyle w:val="FootnoteReference"/>
          <w:lang w:val="en-US"/>
        </w:rPr>
        <w:footnoteReference w:id="21"/>
      </w:r>
      <w:r w:rsidR="00E33047" w:rsidRPr="002146B1">
        <w:rPr>
          <w:lang w:val="en-US"/>
        </w:rPr>
        <w:t>. Counts averaged</w:t>
      </w:r>
      <w:r w:rsidRPr="002146B1">
        <w:rPr>
          <w:lang w:val="en-US"/>
        </w:rPr>
        <w:t xml:space="preserve"> 460 NPPs, ranging from 361 to 630 total microfossils per sample, and including a minimum 200 fungal spores or algal NPPs.</w:t>
      </w:r>
    </w:p>
    <w:p w:rsidR="00BF3702" w:rsidRDefault="00BF3702" w:rsidP="003724E0">
      <w:pPr>
        <w:jc w:val="both"/>
      </w:pPr>
    </w:p>
    <w:p w:rsidR="00BF3702" w:rsidRDefault="00BF3702" w:rsidP="003724E0">
      <w:pPr>
        <w:jc w:val="both"/>
      </w:pPr>
      <w:r>
        <w:rPr>
          <w:b/>
        </w:rPr>
        <w:t>Rovegno: s</w:t>
      </w:r>
      <w:r w:rsidRPr="00403791">
        <w:rPr>
          <w:b/>
        </w:rPr>
        <w:t>edimentary and vegetation history</w:t>
      </w:r>
    </w:p>
    <w:p w:rsidR="00C97440" w:rsidRPr="002146B1" w:rsidRDefault="00C97440" w:rsidP="003724E0">
      <w:pPr>
        <w:jc w:val="both"/>
      </w:pPr>
      <w:r w:rsidRPr="002146B1">
        <w:t>The data generated by the palaeoecological study of Rovegno</w:t>
      </w:r>
      <w:r w:rsidR="00C01315">
        <w:rPr>
          <w:rStyle w:val="FootnoteReference"/>
        </w:rPr>
        <w:footnoteReference w:id="22"/>
      </w:r>
      <w:r w:rsidRPr="002146B1">
        <w:t xml:space="preserve"> (</w:t>
      </w:r>
      <w:r w:rsidR="00BD5806">
        <w:t>fig. 5; tab. 1</w:t>
      </w:r>
      <w:r w:rsidR="00050119">
        <w:t xml:space="preserve"> and tab. 2</w:t>
      </w:r>
      <w:r w:rsidRPr="002146B1">
        <w:t xml:space="preserve">), and enhanced radiocarbon-based chronology (this study), indicates that prior to 17,056-16,621 cal yrs BP (ROV-1) until 15,099-14,501 cal yrs BP (ROV-3) sediment was deposited in a freshwater lake and sedge-swamp comprising marginal aquatic vegetation (400-257cm). The dryland vegetation was characterised by the succession from open </w:t>
      </w:r>
      <w:r w:rsidRPr="002146B1">
        <w:rPr>
          <w:i/>
        </w:rPr>
        <w:t>Pinus</w:t>
      </w:r>
      <w:r w:rsidRPr="002146B1">
        <w:t xml:space="preserve"> woodland and short-turf grassland (ROV-1) to </w:t>
      </w:r>
      <w:r w:rsidRPr="002146B1">
        <w:rPr>
          <w:i/>
        </w:rPr>
        <w:t>Artemisia</w:t>
      </w:r>
      <w:r w:rsidRPr="002146B1">
        <w:t xml:space="preserve"> dominated grassland (ROV-2), and finally </w:t>
      </w:r>
      <w:r w:rsidRPr="002146B1">
        <w:rPr>
          <w:i/>
        </w:rPr>
        <w:t>Juniperus</w:t>
      </w:r>
      <w:r w:rsidRPr="002146B1">
        <w:t xml:space="preserve"> shrubland (ROV-3). These taxa suggest the colonisation of arctic-tundra, steppe or semi-desert plant communities associated with cold and possibly dry climatic conditions during the late Würm glaciation.</w:t>
      </w:r>
    </w:p>
    <w:p w:rsidR="00A2449D" w:rsidRPr="00403791" w:rsidRDefault="00A2449D" w:rsidP="003724E0">
      <w:pPr>
        <w:jc w:val="both"/>
        <w:rPr>
          <w:b/>
        </w:rPr>
      </w:pPr>
    </w:p>
    <w:p w:rsidR="003B4559" w:rsidRPr="00403791" w:rsidRDefault="001456E9" w:rsidP="003724E0">
      <w:pPr>
        <w:jc w:val="both"/>
      </w:pPr>
      <w:r w:rsidRPr="00403791">
        <w:t xml:space="preserve">The period from 15,099-14,501 cal yrs BP to the onset of the Holocene at </w:t>
      </w:r>
      <w:r w:rsidR="004148EA" w:rsidRPr="00403791">
        <w:t>~</w:t>
      </w:r>
      <w:r w:rsidRPr="00403791">
        <w:t>11,700 cal yrs BP (</w:t>
      </w:r>
      <w:r w:rsidR="004148EA" w:rsidRPr="00403791">
        <w:t>ROV-3 to ROV-</w:t>
      </w:r>
      <w:r w:rsidR="005C5B58" w:rsidRPr="00403791">
        <w:t>6a</w:t>
      </w:r>
      <w:r w:rsidR="003C6F2D" w:rsidRPr="00403791">
        <w:t>; 257-221cm</w:t>
      </w:r>
      <w:r w:rsidRPr="00403791">
        <w:t>)</w:t>
      </w:r>
      <w:r w:rsidR="003C6F2D" w:rsidRPr="00403791">
        <w:t xml:space="preserve"> is complex with evidence for </w:t>
      </w:r>
      <w:r w:rsidR="005C5B58" w:rsidRPr="00403791">
        <w:t xml:space="preserve">organic </w:t>
      </w:r>
      <w:r w:rsidR="00765BA9" w:rsidRPr="00403791">
        <w:t xml:space="preserve">lake sedimentation (257-247cm), </w:t>
      </w:r>
      <w:r w:rsidR="003C6F2D" w:rsidRPr="00403791">
        <w:t>herbaceous peat formation</w:t>
      </w:r>
      <w:r w:rsidR="00765BA9" w:rsidRPr="00403791">
        <w:t xml:space="preserve"> (247-225cm), and finally a return to </w:t>
      </w:r>
      <w:r w:rsidR="00401985" w:rsidRPr="00403791">
        <w:t xml:space="preserve">mineral-rich </w:t>
      </w:r>
      <w:r w:rsidR="00765BA9" w:rsidRPr="00403791">
        <w:t>lake sediment deposition (225-221cm)</w:t>
      </w:r>
      <w:r w:rsidR="00C86353" w:rsidRPr="00403791">
        <w:t>.</w:t>
      </w:r>
      <w:r w:rsidR="005C5B58" w:rsidRPr="00403791">
        <w:t xml:space="preserve"> The </w:t>
      </w:r>
      <w:r w:rsidR="00301832" w:rsidRPr="00403791">
        <w:t>establishment of</w:t>
      </w:r>
      <w:r w:rsidR="005C5B58" w:rsidRPr="00403791">
        <w:t xml:space="preserve"> pioneer</w:t>
      </w:r>
      <w:r w:rsidR="00301832" w:rsidRPr="00403791">
        <w:t xml:space="preserve"> </w:t>
      </w:r>
      <w:r w:rsidR="00301832" w:rsidRPr="00403791">
        <w:rPr>
          <w:i/>
        </w:rPr>
        <w:t>Juniperus</w:t>
      </w:r>
      <w:r w:rsidR="00301832" w:rsidRPr="00403791">
        <w:t xml:space="preserve"> s</w:t>
      </w:r>
      <w:r w:rsidR="005C5B58" w:rsidRPr="00403791">
        <w:t xml:space="preserve">hrubland </w:t>
      </w:r>
      <w:r w:rsidR="00D31883" w:rsidRPr="00403791">
        <w:t xml:space="preserve">(ROV-3) </w:t>
      </w:r>
      <w:r w:rsidR="00401985" w:rsidRPr="00403791">
        <w:t xml:space="preserve">is succeeded by </w:t>
      </w:r>
      <w:r w:rsidR="00301832" w:rsidRPr="00403791">
        <w:rPr>
          <w:i/>
        </w:rPr>
        <w:t>Betula</w:t>
      </w:r>
      <w:r w:rsidR="00301832" w:rsidRPr="00403791">
        <w:t xml:space="preserve"> and </w:t>
      </w:r>
      <w:r w:rsidR="00301832" w:rsidRPr="00403791">
        <w:rPr>
          <w:i/>
        </w:rPr>
        <w:t>Pinus</w:t>
      </w:r>
      <w:r w:rsidR="00955AC5" w:rsidRPr="00403791">
        <w:t xml:space="preserve"> woodland</w:t>
      </w:r>
      <w:r w:rsidR="00D31883" w:rsidRPr="00403791">
        <w:t xml:space="preserve"> (ROV-3), and the expansion of thermophilous taxa, namely </w:t>
      </w:r>
      <w:r w:rsidR="00D31883" w:rsidRPr="00403791">
        <w:rPr>
          <w:i/>
        </w:rPr>
        <w:t>Abies</w:t>
      </w:r>
      <w:r w:rsidR="00D31883" w:rsidRPr="00403791">
        <w:t xml:space="preserve">, </w:t>
      </w:r>
      <w:r w:rsidR="00D31883" w:rsidRPr="00403791">
        <w:rPr>
          <w:i/>
        </w:rPr>
        <w:t>Corylus</w:t>
      </w:r>
      <w:r w:rsidR="00D31883" w:rsidRPr="00403791">
        <w:t xml:space="preserve"> and </w:t>
      </w:r>
      <w:r w:rsidR="00D31883" w:rsidRPr="00403791">
        <w:rPr>
          <w:i/>
        </w:rPr>
        <w:t>Quercus</w:t>
      </w:r>
      <w:r w:rsidR="00D31883" w:rsidRPr="00403791">
        <w:t xml:space="preserve"> (ROV-4 and ROV-5)</w:t>
      </w:r>
      <w:r w:rsidR="00955AC5" w:rsidRPr="00403791">
        <w:t xml:space="preserve">. </w:t>
      </w:r>
      <w:r w:rsidR="00301832" w:rsidRPr="00403791">
        <w:t xml:space="preserve">The timing of the transition corresponds to the onset of the </w:t>
      </w:r>
      <w:r w:rsidR="00955AC5" w:rsidRPr="00403791">
        <w:t>L</w:t>
      </w:r>
      <w:r w:rsidR="00301832" w:rsidRPr="00403791">
        <w:t xml:space="preserve">ate Würm </w:t>
      </w:r>
      <w:r w:rsidR="00955AC5" w:rsidRPr="00403791">
        <w:t>Lateglacial I</w:t>
      </w:r>
      <w:r w:rsidR="00301832" w:rsidRPr="00403791">
        <w:t>nterstadial</w:t>
      </w:r>
      <w:r w:rsidR="00955AC5" w:rsidRPr="00403791">
        <w:t xml:space="preserve">. </w:t>
      </w:r>
      <w:r w:rsidR="00291A70" w:rsidRPr="00403791">
        <w:t xml:space="preserve">LPAZ ROV-6a (230-221cm) is marked by the decline of </w:t>
      </w:r>
      <w:r w:rsidR="00291A70" w:rsidRPr="00403791">
        <w:rPr>
          <w:i/>
        </w:rPr>
        <w:t>Pinus</w:t>
      </w:r>
      <w:r w:rsidR="00291A70" w:rsidRPr="00403791">
        <w:t xml:space="preserve">, </w:t>
      </w:r>
      <w:r w:rsidR="00D31883" w:rsidRPr="00403791">
        <w:t xml:space="preserve">an increase in </w:t>
      </w:r>
      <w:r w:rsidR="00D31883" w:rsidRPr="00403791">
        <w:rPr>
          <w:i/>
        </w:rPr>
        <w:t xml:space="preserve">Betula </w:t>
      </w:r>
      <w:r w:rsidR="00D31883" w:rsidRPr="00403791">
        <w:t xml:space="preserve">and </w:t>
      </w:r>
      <w:r w:rsidR="00D31883" w:rsidRPr="00403791">
        <w:rPr>
          <w:i/>
        </w:rPr>
        <w:t>Artemisia</w:t>
      </w:r>
      <w:r w:rsidR="00D31883" w:rsidRPr="00403791">
        <w:t xml:space="preserve">, </w:t>
      </w:r>
      <w:r w:rsidR="00291A70" w:rsidRPr="00403791">
        <w:t xml:space="preserve">and the </w:t>
      </w:r>
      <w:r w:rsidR="00D31883" w:rsidRPr="00403791">
        <w:t xml:space="preserve">continued expansion of </w:t>
      </w:r>
      <w:r w:rsidR="00291A70" w:rsidRPr="00403791">
        <w:rPr>
          <w:i/>
        </w:rPr>
        <w:t>Abies</w:t>
      </w:r>
      <w:r w:rsidR="00291A70" w:rsidRPr="00403791">
        <w:t xml:space="preserve">, </w:t>
      </w:r>
      <w:r w:rsidR="00291A70" w:rsidRPr="00403791">
        <w:rPr>
          <w:i/>
        </w:rPr>
        <w:t>Quercus</w:t>
      </w:r>
      <w:r w:rsidR="00291A70" w:rsidRPr="00403791">
        <w:t xml:space="preserve"> and </w:t>
      </w:r>
      <w:r w:rsidR="00291A70" w:rsidRPr="00403791">
        <w:rPr>
          <w:i/>
        </w:rPr>
        <w:t>Corylus</w:t>
      </w:r>
      <w:r w:rsidR="00291A70" w:rsidRPr="00403791">
        <w:t xml:space="preserve"> woodland. This zone may represent a temporary hiatus and/or reduction in sedimentation at the Lateglacial to Early Holocene transition, or during the Late Würm Lateglacial Stadial (‘Younger Dryas’), because it is succeeded by an ‘abrupt’ increase in mixed deciduous and coniferous woodland</w:t>
      </w:r>
      <w:r w:rsidR="007160B7" w:rsidRPr="00403791">
        <w:t>,</w:t>
      </w:r>
      <w:r w:rsidR="00C624CA" w:rsidRPr="00403791">
        <w:t xml:space="preserve"> </w:t>
      </w:r>
      <w:r w:rsidR="007160B7" w:rsidRPr="00403791">
        <w:t xml:space="preserve">and the formation of well humified herbaceous peat and lake sediment deposition </w:t>
      </w:r>
      <w:r w:rsidR="00C624CA" w:rsidRPr="00403791">
        <w:t>(ROV-6b</w:t>
      </w:r>
      <w:r w:rsidR="005635DC">
        <w:t>; 221-197cm</w:t>
      </w:r>
      <w:r w:rsidR="00C624CA" w:rsidRPr="00403791">
        <w:t>)</w:t>
      </w:r>
      <w:r w:rsidR="00291A70" w:rsidRPr="00403791">
        <w:t>.</w:t>
      </w:r>
    </w:p>
    <w:p w:rsidR="003B4559" w:rsidRPr="00403791" w:rsidRDefault="003B4559" w:rsidP="003724E0">
      <w:pPr>
        <w:jc w:val="both"/>
      </w:pPr>
    </w:p>
    <w:p w:rsidR="00C86353" w:rsidRDefault="007160B7" w:rsidP="003724E0">
      <w:pPr>
        <w:jc w:val="both"/>
      </w:pPr>
      <w:r w:rsidRPr="00403791">
        <w:t xml:space="preserve">Thereafter, the mire community becomes fully established forming </w:t>
      </w:r>
      <w:r w:rsidRPr="00403791">
        <w:rPr>
          <w:i/>
        </w:rPr>
        <w:t>Alnus</w:t>
      </w:r>
      <w:r w:rsidRPr="00403791">
        <w:t xml:space="preserve"> Carr woodland</w:t>
      </w:r>
      <w:r w:rsidR="002D258F" w:rsidRPr="00403791">
        <w:t xml:space="preserve"> (ROV-6c to ROV-10; 197-80cm) from 6488-6318 cal yrs BP to sometime after 5287-4835 cal yrs BP</w:t>
      </w:r>
      <w:r w:rsidRPr="00403791">
        <w:t>.</w:t>
      </w:r>
      <w:r w:rsidR="002D258F" w:rsidRPr="00403791">
        <w:t xml:space="preserve"> This is succeeded by a period of colluviation and an </w:t>
      </w:r>
      <w:r w:rsidR="00C86353" w:rsidRPr="00403791">
        <w:t xml:space="preserve">absence of pollen </w:t>
      </w:r>
      <w:r w:rsidR="00C86353" w:rsidRPr="002146B1">
        <w:t>preservation</w:t>
      </w:r>
      <w:r w:rsidR="002D258F" w:rsidRPr="002146B1">
        <w:t xml:space="preserve"> in the mineral rich sediments</w:t>
      </w:r>
      <w:r w:rsidR="00C86353" w:rsidRPr="002146B1">
        <w:t>.</w:t>
      </w:r>
      <w:r w:rsidR="000C697F" w:rsidRPr="002146B1">
        <w:t xml:space="preserve"> The dryland vegetation is characteris</w:t>
      </w:r>
      <w:r w:rsidR="00C86353" w:rsidRPr="002146B1">
        <w:t xml:space="preserve">ed by the </w:t>
      </w:r>
      <w:r w:rsidR="00C86353" w:rsidRPr="002146B1">
        <w:lastRenderedPageBreak/>
        <w:t xml:space="preserve">establishment of mixed deciduous woodland dominated by </w:t>
      </w:r>
      <w:r w:rsidR="000C697F" w:rsidRPr="002146B1">
        <w:rPr>
          <w:i/>
        </w:rPr>
        <w:t xml:space="preserve">Quercus </w:t>
      </w:r>
      <w:r w:rsidR="00C86353" w:rsidRPr="002146B1">
        <w:t xml:space="preserve">with </w:t>
      </w:r>
      <w:r w:rsidR="00C86353" w:rsidRPr="002146B1">
        <w:rPr>
          <w:i/>
        </w:rPr>
        <w:t>Abies</w:t>
      </w:r>
      <w:r w:rsidR="000C697F" w:rsidRPr="002146B1">
        <w:t xml:space="preserve">, </w:t>
      </w:r>
      <w:r w:rsidR="000C697F" w:rsidRPr="002146B1">
        <w:rPr>
          <w:i/>
        </w:rPr>
        <w:t xml:space="preserve">Fagus </w:t>
      </w:r>
      <w:r w:rsidR="000C697F" w:rsidRPr="002146B1">
        <w:t>and</w:t>
      </w:r>
      <w:r w:rsidR="000C697F" w:rsidRPr="002146B1">
        <w:rPr>
          <w:i/>
        </w:rPr>
        <w:t xml:space="preserve"> Corylus</w:t>
      </w:r>
      <w:r w:rsidR="000C697F" w:rsidRPr="002146B1">
        <w:t>.</w:t>
      </w:r>
      <w:r w:rsidR="00842CD1" w:rsidRPr="002146B1">
        <w:t xml:space="preserve"> </w:t>
      </w:r>
      <w:r w:rsidR="006A041C" w:rsidRPr="002146B1">
        <w:rPr>
          <w:i/>
        </w:rPr>
        <w:t>Fagus</w:t>
      </w:r>
      <w:r w:rsidR="006A041C" w:rsidRPr="002146B1">
        <w:t xml:space="preserve"> woodland becomes established at Rovegno sometime before 6488-6318 cal yrs BP, but never becomes a major component of the woodland cover. Throughout the Holocene, </w:t>
      </w:r>
      <w:r w:rsidR="006A041C" w:rsidRPr="002146B1">
        <w:rPr>
          <w:i/>
        </w:rPr>
        <w:t>Abies</w:t>
      </w:r>
      <w:r w:rsidR="006A041C" w:rsidRPr="002146B1">
        <w:t xml:space="preserve"> woodland fluctuates, with marked declines between 6488-6318 cal yrs BP and 5287-4835 cal yrs BP, especially at the beginning of zones ROV-7, ROV-8 and ROV-9. This corresponds to marked increases in herbaceous taxa an</w:t>
      </w:r>
      <w:r w:rsidR="00314945">
        <w:t xml:space="preserve">d changes in peat composition. </w:t>
      </w:r>
      <w:r w:rsidR="00842CD1" w:rsidRPr="002146B1">
        <w:t>T</w:t>
      </w:r>
      <w:r w:rsidR="00C86353" w:rsidRPr="002146B1">
        <w:t xml:space="preserve">he thickness of the colluvial deposit </w:t>
      </w:r>
      <w:r w:rsidR="00842CD1" w:rsidRPr="002146B1">
        <w:t xml:space="preserve">(100cm) </w:t>
      </w:r>
      <w:r w:rsidR="00C86353" w:rsidRPr="002146B1">
        <w:t>indicates a magnitude of erosion and sediment deposition several times greater</w:t>
      </w:r>
      <w:r w:rsidR="00842CD1" w:rsidRPr="002146B1">
        <w:t xml:space="preserve"> than recorded at other sites in the northern Apennines</w:t>
      </w:r>
      <w:r w:rsidR="004E7206">
        <w:rPr>
          <w:rStyle w:val="FootnoteReference"/>
        </w:rPr>
        <w:footnoteReference w:id="23"/>
      </w:r>
      <w:r w:rsidR="00842CD1" w:rsidRPr="002146B1">
        <w:t xml:space="preserve">, and may be due to a natural catastrophic event </w:t>
      </w:r>
      <w:r w:rsidR="00C86353" w:rsidRPr="002146B1">
        <w:t xml:space="preserve">or </w:t>
      </w:r>
      <w:r w:rsidR="00842CD1" w:rsidRPr="002146B1">
        <w:t xml:space="preserve">long-term, </w:t>
      </w:r>
      <w:r w:rsidR="00C86353" w:rsidRPr="002146B1">
        <w:t>intensive human activity</w:t>
      </w:r>
      <w:r w:rsidR="00842CD1" w:rsidRPr="002146B1">
        <w:t>, during the Copper/Bronze Age cultural period or later</w:t>
      </w:r>
      <w:r w:rsidR="00C86353" w:rsidRPr="002146B1">
        <w:t>.</w:t>
      </w:r>
    </w:p>
    <w:p w:rsidR="0010106E" w:rsidRPr="00403791" w:rsidRDefault="0010106E" w:rsidP="003724E0">
      <w:pPr>
        <w:jc w:val="both"/>
      </w:pPr>
    </w:p>
    <w:p w:rsidR="001636F2" w:rsidRPr="00403791" w:rsidRDefault="001636F2" w:rsidP="003724E0">
      <w:pPr>
        <w:jc w:val="both"/>
        <w:rPr>
          <w:b/>
        </w:rPr>
      </w:pPr>
      <w:r w:rsidRPr="00403791">
        <w:rPr>
          <w:b/>
        </w:rPr>
        <w:t>Discussion</w:t>
      </w:r>
    </w:p>
    <w:p w:rsidR="007A0EED" w:rsidRPr="002146B1" w:rsidRDefault="00E61AA2" w:rsidP="003724E0">
      <w:pPr>
        <w:jc w:val="both"/>
      </w:pPr>
      <w:r w:rsidRPr="002146B1">
        <w:t xml:space="preserve">The updated </w:t>
      </w:r>
      <w:r w:rsidR="00DC70AB" w:rsidRPr="002146B1">
        <w:t xml:space="preserve">palaeoecological </w:t>
      </w:r>
      <w:r w:rsidRPr="002146B1">
        <w:t>record from Rovegno</w:t>
      </w:r>
      <w:r w:rsidR="00DC70AB" w:rsidRPr="002146B1">
        <w:t xml:space="preserve"> has</w:t>
      </w:r>
      <w:r w:rsidRPr="002146B1">
        <w:t xml:space="preserve"> provided a unique insight into the environmental history of the northern Apennines during the late Würm</w:t>
      </w:r>
      <w:r w:rsidR="006C3A39" w:rsidRPr="002146B1">
        <w:t xml:space="preserve"> glacial period</w:t>
      </w:r>
      <w:r w:rsidRPr="002146B1">
        <w:t>, the Late Würm Lateglacial Interstadial and possibly the Late Würm Lateglacial Stadial</w:t>
      </w:r>
      <w:r w:rsidR="0005532C" w:rsidRPr="002146B1">
        <w:t xml:space="preserve"> (‘Younger Dryas’). </w:t>
      </w:r>
      <w:r w:rsidR="003C763E" w:rsidRPr="002146B1">
        <w:t xml:space="preserve">Rovegno </w:t>
      </w:r>
      <w:r w:rsidR="0005532C" w:rsidRPr="002146B1">
        <w:t xml:space="preserve">has also </w:t>
      </w:r>
      <w:r w:rsidR="003C763E" w:rsidRPr="002146B1">
        <w:t xml:space="preserve">provided </w:t>
      </w:r>
      <w:r w:rsidR="0005532C" w:rsidRPr="002146B1">
        <w:t xml:space="preserve">a </w:t>
      </w:r>
      <w:r w:rsidR="003C763E" w:rsidRPr="002146B1">
        <w:t>record spanning the Holo</w:t>
      </w:r>
      <w:r w:rsidR="0005532C" w:rsidRPr="002146B1">
        <w:t xml:space="preserve">cene, although there are several </w:t>
      </w:r>
      <w:r w:rsidR="003C763E" w:rsidRPr="002146B1">
        <w:t xml:space="preserve">differences in </w:t>
      </w:r>
      <w:r w:rsidR="0083082E" w:rsidRPr="002146B1">
        <w:t xml:space="preserve">sediment accumulation rate and </w:t>
      </w:r>
      <w:r w:rsidR="007A0EED" w:rsidRPr="002146B1">
        <w:t>composition</w:t>
      </w:r>
      <w:r w:rsidR="0083082E" w:rsidRPr="002146B1">
        <w:t>,</w:t>
      </w:r>
      <w:r w:rsidR="007A0EED" w:rsidRPr="002146B1">
        <w:t xml:space="preserve"> and </w:t>
      </w:r>
      <w:r w:rsidR="003C763E" w:rsidRPr="002146B1">
        <w:t xml:space="preserve">vegetation succession, </w:t>
      </w:r>
      <w:r w:rsidR="0005532C" w:rsidRPr="002146B1">
        <w:t xml:space="preserve">with other sites in the northern Apennines, </w:t>
      </w:r>
      <w:r w:rsidR="003C763E" w:rsidRPr="002146B1">
        <w:t xml:space="preserve">which may be due to local characteristics, such as </w:t>
      </w:r>
      <w:r w:rsidR="007A0EED" w:rsidRPr="002146B1">
        <w:t xml:space="preserve">the glacial history, </w:t>
      </w:r>
      <w:r w:rsidR="003C763E" w:rsidRPr="002146B1">
        <w:t>geomorpho</w:t>
      </w:r>
      <w:r w:rsidR="0005532C" w:rsidRPr="002146B1">
        <w:t>logy and elevation</w:t>
      </w:r>
      <w:r w:rsidR="002C6127" w:rsidRPr="002146B1">
        <w:t xml:space="preserve">, </w:t>
      </w:r>
      <w:r w:rsidR="009A6244" w:rsidRPr="002146B1">
        <w:t>as well as the sub-regional intensity and nature</w:t>
      </w:r>
      <w:r w:rsidR="002C6127" w:rsidRPr="002146B1">
        <w:t xml:space="preserve"> of human activities</w:t>
      </w:r>
      <w:r w:rsidR="004E7206">
        <w:rPr>
          <w:rStyle w:val="FootnoteReference"/>
        </w:rPr>
        <w:footnoteReference w:id="24"/>
      </w:r>
      <w:r w:rsidR="007A0EED" w:rsidRPr="002146B1">
        <w:t>.</w:t>
      </w:r>
    </w:p>
    <w:p w:rsidR="009A6244" w:rsidRPr="00403791" w:rsidRDefault="009A6244" w:rsidP="003724E0">
      <w:pPr>
        <w:jc w:val="both"/>
      </w:pPr>
    </w:p>
    <w:p w:rsidR="00A83085" w:rsidRPr="00403791" w:rsidRDefault="002818C0" w:rsidP="003724E0">
      <w:pPr>
        <w:jc w:val="both"/>
        <w:rPr>
          <w:b/>
          <w:i/>
        </w:rPr>
      </w:pPr>
      <w:r w:rsidRPr="00403791">
        <w:rPr>
          <w:b/>
          <w:i/>
        </w:rPr>
        <w:t>Late G</w:t>
      </w:r>
      <w:r w:rsidR="00A83085" w:rsidRPr="00403791">
        <w:rPr>
          <w:b/>
          <w:i/>
        </w:rPr>
        <w:t>lacial</w:t>
      </w:r>
    </w:p>
    <w:p w:rsidR="008820A4" w:rsidRPr="002146B1" w:rsidRDefault="003B0F03" w:rsidP="003724E0">
      <w:pPr>
        <w:jc w:val="both"/>
      </w:pPr>
      <w:r w:rsidRPr="002146B1">
        <w:t xml:space="preserve">The Late Würm </w:t>
      </w:r>
      <w:r w:rsidR="00181824" w:rsidRPr="002146B1">
        <w:t xml:space="preserve">pollen </w:t>
      </w:r>
      <w:r w:rsidR="006C3A39" w:rsidRPr="002146B1">
        <w:t>record from Rovegno</w:t>
      </w:r>
      <w:r w:rsidR="007A0EED" w:rsidRPr="002146B1">
        <w:t xml:space="preserve"> </w:t>
      </w:r>
      <w:r w:rsidR="00B64453" w:rsidRPr="002146B1">
        <w:t>(prior to</w:t>
      </w:r>
      <w:r w:rsidR="00F74063" w:rsidRPr="002146B1">
        <w:t xml:space="preserve"> 17,056-16,621 cal yrs BP to ~15,0</w:t>
      </w:r>
      <w:r w:rsidR="00B64453" w:rsidRPr="002146B1">
        <w:t>00 cal yrs BP) has indicated</w:t>
      </w:r>
      <w:r w:rsidR="006C3A39" w:rsidRPr="002146B1">
        <w:t xml:space="preserve"> an </w:t>
      </w:r>
      <w:r w:rsidR="00E61AA2" w:rsidRPr="002146B1">
        <w:t>open vegetation structure, dominated by herbaceous plant taxa</w:t>
      </w:r>
      <w:r w:rsidR="006C3A39" w:rsidRPr="002146B1">
        <w:t xml:space="preserve">, especially </w:t>
      </w:r>
      <w:r w:rsidR="006C3A39" w:rsidRPr="002146B1">
        <w:rPr>
          <w:i/>
        </w:rPr>
        <w:t>Artemisia</w:t>
      </w:r>
      <w:r w:rsidR="006C3A39" w:rsidRPr="002146B1">
        <w:t>, which is consistent</w:t>
      </w:r>
      <w:r w:rsidR="002D1D42" w:rsidRPr="002146B1">
        <w:t xml:space="preserve"> with</w:t>
      </w:r>
      <w:r w:rsidR="006C3A39" w:rsidRPr="002146B1">
        <w:t xml:space="preserve"> </w:t>
      </w:r>
      <w:r w:rsidR="00735CDE" w:rsidRPr="002146B1">
        <w:t>cold and/or dry</w:t>
      </w:r>
      <w:r w:rsidR="006C3A39" w:rsidRPr="002146B1">
        <w:t xml:space="preserve"> (arid) climatic conditions recorded elsewhere in </w:t>
      </w:r>
      <w:r w:rsidR="003847A8" w:rsidRPr="002146B1">
        <w:t>parts of Italy</w:t>
      </w:r>
      <w:r w:rsidR="004E7206">
        <w:rPr>
          <w:rStyle w:val="FootnoteReference"/>
        </w:rPr>
        <w:footnoteReference w:id="25"/>
      </w:r>
      <w:r w:rsidR="003847A8" w:rsidRPr="002146B1">
        <w:t xml:space="preserve">, and </w:t>
      </w:r>
      <w:r w:rsidR="006C3A39" w:rsidRPr="002146B1">
        <w:t>southern Europe</w:t>
      </w:r>
      <w:r w:rsidR="007A0EED" w:rsidRPr="002146B1">
        <w:t xml:space="preserve"> </w:t>
      </w:r>
      <w:r w:rsidR="003847A8" w:rsidRPr="002146B1">
        <w:t>generally</w:t>
      </w:r>
      <w:r w:rsidR="00704B1C">
        <w:rPr>
          <w:rStyle w:val="FootnoteReference"/>
        </w:rPr>
        <w:footnoteReference w:id="26"/>
      </w:r>
      <w:r w:rsidR="003847A8" w:rsidRPr="002146B1">
        <w:t xml:space="preserve">, </w:t>
      </w:r>
      <w:r w:rsidR="007A0EED" w:rsidRPr="002146B1">
        <w:t>at this time</w:t>
      </w:r>
      <w:r w:rsidR="003847A8" w:rsidRPr="002146B1">
        <w:t xml:space="preserve">. </w:t>
      </w:r>
      <w:r w:rsidR="00B64453" w:rsidRPr="002146B1">
        <w:t xml:space="preserve">The presence of </w:t>
      </w:r>
      <w:r w:rsidR="00B64453" w:rsidRPr="002146B1">
        <w:rPr>
          <w:i/>
        </w:rPr>
        <w:t>Pinus</w:t>
      </w:r>
      <w:r w:rsidR="00B64453" w:rsidRPr="002146B1">
        <w:t xml:space="preserve"> woodland prior to 17,056-16,621 cal yrs BP </w:t>
      </w:r>
      <w:r w:rsidR="00F86C04" w:rsidRPr="002146B1">
        <w:t xml:space="preserve">at Rovegno </w:t>
      </w:r>
      <w:r w:rsidR="00B64453" w:rsidRPr="002146B1">
        <w:t>is particularly interesting and suggests the onset of ‘warmer’ climatic conditions foll</w:t>
      </w:r>
      <w:r w:rsidR="00831762" w:rsidRPr="002146B1">
        <w:t xml:space="preserve">owing the last glacial maximum. </w:t>
      </w:r>
      <w:r w:rsidR="00B64453" w:rsidRPr="002146B1">
        <w:t xml:space="preserve">In contrast, the decline of </w:t>
      </w:r>
      <w:r w:rsidR="00B64453" w:rsidRPr="002146B1">
        <w:rPr>
          <w:i/>
        </w:rPr>
        <w:t xml:space="preserve">Pinus </w:t>
      </w:r>
      <w:r w:rsidR="003847A8" w:rsidRPr="002146B1">
        <w:t xml:space="preserve">at approximately 17,056-16,621 cal yrs BP </w:t>
      </w:r>
      <w:r w:rsidR="00B64453" w:rsidRPr="002146B1">
        <w:t>suggests the renewal of colder conditions</w:t>
      </w:r>
      <w:r w:rsidR="00831762" w:rsidRPr="002146B1">
        <w:t>, which coincides with a period of isotopic enrichment in several Mediterranean lakes</w:t>
      </w:r>
      <w:r w:rsidR="00704B1C">
        <w:rPr>
          <w:rStyle w:val="FootnoteReference"/>
        </w:rPr>
        <w:footnoteReference w:id="27"/>
      </w:r>
      <w:r w:rsidR="00761C3C" w:rsidRPr="002146B1">
        <w:t xml:space="preserve"> and may be provisionally </w:t>
      </w:r>
      <w:r w:rsidR="00B64453" w:rsidRPr="002146B1">
        <w:t xml:space="preserve">equated with the </w:t>
      </w:r>
      <w:r w:rsidR="00761C3C" w:rsidRPr="002146B1">
        <w:t xml:space="preserve">North Atlantic Heinrich 1 (H1) rapid climate change event. </w:t>
      </w:r>
      <w:r w:rsidR="00B64453" w:rsidRPr="002146B1">
        <w:t>Unfortunately, there are no comparable records of this ag</w:t>
      </w:r>
      <w:r w:rsidR="00761C3C" w:rsidRPr="002146B1">
        <w:t>e from the northern Apennines and</w:t>
      </w:r>
      <w:r w:rsidR="00181824" w:rsidRPr="002146B1">
        <w:t xml:space="preserve"> hence Rovegno provides a potentially</w:t>
      </w:r>
      <w:r w:rsidR="00F80FAD" w:rsidRPr="002146B1">
        <w:t xml:space="preserve"> important</w:t>
      </w:r>
      <w:r w:rsidR="00761C3C" w:rsidRPr="002146B1">
        <w:t xml:space="preserve"> contribution to our understanding of millennial scale climate and environmental change in northern Italy</w:t>
      </w:r>
      <w:r w:rsidR="00181824" w:rsidRPr="002146B1">
        <w:t xml:space="preserve"> during the last glaciation</w:t>
      </w:r>
      <w:r w:rsidR="00761C3C" w:rsidRPr="002146B1">
        <w:t>.</w:t>
      </w:r>
    </w:p>
    <w:p w:rsidR="00934E20" w:rsidRPr="00403791" w:rsidRDefault="00934E20" w:rsidP="003724E0">
      <w:pPr>
        <w:jc w:val="both"/>
      </w:pPr>
    </w:p>
    <w:p w:rsidR="00D54C0F" w:rsidRPr="002146B1" w:rsidRDefault="008820A4" w:rsidP="003724E0">
      <w:pPr>
        <w:jc w:val="both"/>
      </w:pPr>
      <w:r w:rsidRPr="002146B1">
        <w:t xml:space="preserve">Pollen-stratigraphic records from the northern Apennines spanning the </w:t>
      </w:r>
      <w:r w:rsidR="00D64F6E" w:rsidRPr="002146B1">
        <w:t xml:space="preserve">Late Würm Lateglacial, </w:t>
      </w:r>
      <w:r w:rsidRPr="002146B1">
        <w:t xml:space="preserve">from </w:t>
      </w:r>
      <w:r w:rsidR="00D64F6E" w:rsidRPr="002146B1">
        <w:t>~15,000</w:t>
      </w:r>
      <w:r w:rsidRPr="002146B1">
        <w:t xml:space="preserve"> cal yrs BP to the onset of the Holocene at ~11,700 cal yrs BP</w:t>
      </w:r>
      <w:r w:rsidR="00181824" w:rsidRPr="002146B1">
        <w:t>,</w:t>
      </w:r>
      <w:r w:rsidRPr="002146B1">
        <w:t xml:space="preserve"> are few in number</w:t>
      </w:r>
      <w:r w:rsidR="00704B1C">
        <w:rPr>
          <w:rStyle w:val="FootnoteReference"/>
        </w:rPr>
        <w:footnoteReference w:id="28"/>
      </w:r>
      <w:r w:rsidRPr="002146B1">
        <w:t>.</w:t>
      </w:r>
      <w:r w:rsidR="00D54C0F" w:rsidRPr="002146B1">
        <w:t xml:space="preserve"> </w:t>
      </w:r>
      <w:r w:rsidR="00CA4749" w:rsidRPr="002146B1">
        <w:t>At Prato Spilla ‘C’,</w:t>
      </w:r>
      <w:r w:rsidR="00491CBE" w:rsidRPr="002146B1">
        <w:t xml:space="preserve"> for example,</w:t>
      </w:r>
      <w:r w:rsidR="00CA4749" w:rsidRPr="002146B1">
        <w:t xml:space="preserve"> the vegetation succession is quite different to that of Rovegno, with the Lateglacial Interstadial</w:t>
      </w:r>
      <w:r w:rsidR="00E54834" w:rsidRPr="002146B1">
        <w:t xml:space="preserve"> </w:t>
      </w:r>
      <w:r w:rsidR="00CA4749" w:rsidRPr="002146B1">
        <w:t xml:space="preserve">(~14,340 cal yrs BP) denoted by the expansion of </w:t>
      </w:r>
      <w:r w:rsidR="00CA4749" w:rsidRPr="002146B1">
        <w:rPr>
          <w:i/>
        </w:rPr>
        <w:t>Abies</w:t>
      </w:r>
      <w:r w:rsidR="00CA4749" w:rsidRPr="002146B1">
        <w:t xml:space="preserve">, </w:t>
      </w:r>
      <w:r w:rsidR="00CA4749" w:rsidRPr="002146B1">
        <w:rPr>
          <w:i/>
        </w:rPr>
        <w:t>Quercus</w:t>
      </w:r>
      <w:r w:rsidR="00CA4749" w:rsidRPr="002146B1">
        <w:t xml:space="preserve"> and </w:t>
      </w:r>
      <w:r w:rsidR="00CA4749" w:rsidRPr="002146B1">
        <w:rPr>
          <w:i/>
        </w:rPr>
        <w:t xml:space="preserve">Corylus </w:t>
      </w:r>
      <w:r w:rsidR="00CA4749" w:rsidRPr="002146B1">
        <w:t xml:space="preserve">together with </w:t>
      </w:r>
      <w:r w:rsidR="00CA4749" w:rsidRPr="002146B1">
        <w:rPr>
          <w:i/>
        </w:rPr>
        <w:t>Pinus</w:t>
      </w:r>
      <w:r w:rsidR="00CA4749" w:rsidRPr="002146B1">
        <w:t xml:space="preserve">, which was succeeded by </w:t>
      </w:r>
      <w:r w:rsidR="00CA4749" w:rsidRPr="002146B1">
        <w:rPr>
          <w:i/>
        </w:rPr>
        <w:t xml:space="preserve">Abies </w:t>
      </w:r>
      <w:r w:rsidR="00CA4749" w:rsidRPr="002146B1">
        <w:t xml:space="preserve">and </w:t>
      </w:r>
      <w:r w:rsidR="00CA4749" w:rsidRPr="002146B1">
        <w:rPr>
          <w:i/>
        </w:rPr>
        <w:t xml:space="preserve">Pinus </w:t>
      </w:r>
      <w:r w:rsidR="00CA4749" w:rsidRPr="002146B1">
        <w:t xml:space="preserve">woodland </w:t>
      </w:r>
      <w:r w:rsidR="00181824" w:rsidRPr="002146B1">
        <w:t xml:space="preserve">during the </w:t>
      </w:r>
      <w:proofErr w:type="spellStart"/>
      <w:r w:rsidR="00181824" w:rsidRPr="002146B1">
        <w:t>Lateglacial</w:t>
      </w:r>
      <w:proofErr w:type="spellEnd"/>
      <w:r w:rsidR="00181824" w:rsidRPr="002146B1">
        <w:t xml:space="preserve"> </w:t>
      </w:r>
      <w:proofErr w:type="spellStart"/>
      <w:r w:rsidR="00181824" w:rsidRPr="002146B1">
        <w:t>Stadial</w:t>
      </w:r>
      <w:proofErr w:type="spellEnd"/>
      <w:r w:rsidR="00704B1C">
        <w:rPr>
          <w:rStyle w:val="FootnoteReference"/>
        </w:rPr>
        <w:footnoteReference w:id="29"/>
      </w:r>
      <w:r w:rsidR="00F80FAD" w:rsidRPr="002146B1">
        <w:t xml:space="preserve">. </w:t>
      </w:r>
      <w:r w:rsidR="00181824" w:rsidRPr="002146B1">
        <w:t xml:space="preserve">The evidence for the ‘Younger Dryas’ </w:t>
      </w:r>
      <w:r w:rsidR="00181824" w:rsidRPr="002146B1">
        <w:lastRenderedPageBreak/>
        <w:t xml:space="preserve">event (H0 or Greenland Stadial 1) </w:t>
      </w:r>
      <w:r w:rsidR="0063156A" w:rsidRPr="002146B1">
        <w:t>at Prato Spilla ‘C’ is highly significant</w:t>
      </w:r>
      <w:r w:rsidR="008C150F" w:rsidRPr="002146B1">
        <w:t>,</w:t>
      </w:r>
      <w:r w:rsidR="0063156A" w:rsidRPr="002146B1">
        <w:t xml:space="preserve"> although the published radiocarbon dates do not support the clear pollen signature for the renewal of colder climatic conditions</w:t>
      </w:r>
      <w:r w:rsidR="008C150F" w:rsidRPr="002146B1">
        <w:t xml:space="preserve"> i.e. the expansion of herbaceous taxa, notably Caryophyllaceae and Chenopodiaceae</w:t>
      </w:r>
      <w:r w:rsidR="0063156A" w:rsidRPr="002146B1">
        <w:t xml:space="preserve">. </w:t>
      </w:r>
      <w:r w:rsidR="00B4377F" w:rsidRPr="002146B1">
        <w:t xml:space="preserve">At Lago del Greppo, the </w:t>
      </w:r>
      <w:r w:rsidR="00E54834" w:rsidRPr="002146B1">
        <w:t xml:space="preserve">succession from </w:t>
      </w:r>
      <w:r w:rsidR="00E54834" w:rsidRPr="002146B1">
        <w:rPr>
          <w:i/>
        </w:rPr>
        <w:t>Juniperus</w:t>
      </w:r>
      <w:r w:rsidR="00E54834" w:rsidRPr="002146B1">
        <w:t xml:space="preserve"> shrubland to </w:t>
      </w:r>
      <w:r w:rsidR="00E54834" w:rsidRPr="002146B1">
        <w:rPr>
          <w:i/>
        </w:rPr>
        <w:t>Pinus</w:t>
      </w:r>
      <w:r w:rsidR="00E54834" w:rsidRPr="002146B1">
        <w:t xml:space="preserve"> woodland with minor amounts of </w:t>
      </w:r>
      <w:r w:rsidR="00E54834" w:rsidRPr="002146B1">
        <w:rPr>
          <w:i/>
        </w:rPr>
        <w:t>Abies</w:t>
      </w:r>
      <w:r w:rsidR="00E54834" w:rsidRPr="002146B1">
        <w:t xml:space="preserve"> and </w:t>
      </w:r>
      <w:r w:rsidR="00E54834" w:rsidRPr="002146B1">
        <w:rPr>
          <w:i/>
        </w:rPr>
        <w:t xml:space="preserve">Corylus </w:t>
      </w:r>
      <w:r w:rsidR="00E54834" w:rsidRPr="002146B1">
        <w:t>during the Lateglacial Interstadial is similar to that recorded at Rovegno</w:t>
      </w:r>
      <w:r w:rsidR="00704B1C">
        <w:rPr>
          <w:rStyle w:val="FootnoteReference"/>
        </w:rPr>
        <w:footnoteReference w:id="30"/>
      </w:r>
      <w:r w:rsidR="00E54834" w:rsidRPr="002146B1">
        <w:t>.</w:t>
      </w:r>
      <w:r w:rsidR="00B4377F" w:rsidRPr="002146B1">
        <w:t xml:space="preserve"> </w:t>
      </w:r>
      <w:r w:rsidR="00F80FAD" w:rsidRPr="002146B1">
        <w:t>The</w:t>
      </w:r>
      <w:r w:rsidR="00BF718A">
        <w:t>refore, the</w:t>
      </w:r>
      <w:r w:rsidR="00F80FAD" w:rsidRPr="002146B1">
        <w:t xml:space="preserve"> paucity</w:t>
      </w:r>
      <w:r w:rsidR="00CA4749" w:rsidRPr="002146B1">
        <w:t xml:space="preserve"> of </w:t>
      </w:r>
      <w:r w:rsidR="00CA4749" w:rsidRPr="002146B1">
        <w:rPr>
          <w:i/>
        </w:rPr>
        <w:t>Abies</w:t>
      </w:r>
      <w:r w:rsidR="00CA4749" w:rsidRPr="002146B1">
        <w:t xml:space="preserve"> in the Lateglacial pollen data from Rovegno is perhaps the most important contrast</w:t>
      </w:r>
      <w:r w:rsidR="00B4377F" w:rsidRPr="002146B1">
        <w:t xml:space="preserve"> with Prato Spilla ‘C’</w:t>
      </w:r>
      <w:r w:rsidR="00D64F6E" w:rsidRPr="002146B1">
        <w:t>, and may be explained by differences in elevation and proximity of glacial refugia</w:t>
      </w:r>
      <w:r w:rsidR="00CA4749" w:rsidRPr="002146B1">
        <w:t xml:space="preserve">. </w:t>
      </w:r>
      <w:r w:rsidR="00B95555" w:rsidRPr="002146B1">
        <w:t>This interpretation is broadly supported by pollen-stratigraphic r</w:t>
      </w:r>
      <w:r w:rsidR="00F74063" w:rsidRPr="002146B1">
        <w:t>ecords from southern Italy</w:t>
      </w:r>
      <w:r w:rsidR="00704B1C">
        <w:rPr>
          <w:rStyle w:val="FootnoteReference"/>
        </w:rPr>
        <w:footnoteReference w:id="31"/>
      </w:r>
      <w:r w:rsidR="00B95555" w:rsidRPr="002146B1">
        <w:t xml:space="preserve">, which suggest that </w:t>
      </w:r>
      <w:r w:rsidR="00B95555" w:rsidRPr="002146B1">
        <w:rPr>
          <w:i/>
        </w:rPr>
        <w:t>Abies</w:t>
      </w:r>
      <w:r w:rsidR="00303F46" w:rsidRPr="002146B1">
        <w:t xml:space="preserve"> was absent</w:t>
      </w:r>
      <w:r w:rsidR="00B95555" w:rsidRPr="002146B1">
        <w:t xml:space="preserve">. </w:t>
      </w:r>
      <w:r w:rsidR="00D54C0F" w:rsidRPr="002146B1">
        <w:t xml:space="preserve">The decline of </w:t>
      </w:r>
      <w:r w:rsidR="00D54C0F" w:rsidRPr="002146B1">
        <w:rPr>
          <w:i/>
        </w:rPr>
        <w:t>Pinus</w:t>
      </w:r>
      <w:r w:rsidR="00D54C0F" w:rsidRPr="002146B1">
        <w:t xml:space="preserve"> woodland sometime after 13,387-13,163 cal yrs BP </w:t>
      </w:r>
      <w:r w:rsidR="00CA4749" w:rsidRPr="002146B1">
        <w:t xml:space="preserve">at Rovegno </w:t>
      </w:r>
      <w:r w:rsidR="00D54C0F" w:rsidRPr="002146B1">
        <w:t xml:space="preserve">may </w:t>
      </w:r>
      <w:r w:rsidR="00E80848" w:rsidRPr="002146B1">
        <w:t xml:space="preserve">possibly </w:t>
      </w:r>
      <w:r w:rsidR="00D54C0F" w:rsidRPr="002146B1">
        <w:t xml:space="preserve">be equated with the </w:t>
      </w:r>
      <w:r w:rsidR="00181824" w:rsidRPr="002146B1">
        <w:t>‘</w:t>
      </w:r>
      <w:r w:rsidR="00D54C0F" w:rsidRPr="002146B1">
        <w:t>Younger Dryas</w:t>
      </w:r>
      <w:r w:rsidR="00181824" w:rsidRPr="002146B1">
        <w:t>’ event</w:t>
      </w:r>
      <w:r w:rsidR="00303F46" w:rsidRPr="002146B1">
        <w:t>. T</w:t>
      </w:r>
      <w:r w:rsidR="0063156A" w:rsidRPr="002146B1">
        <w:t>he absence of a clear expansion of herbaceous taxa in the pollen record</w:t>
      </w:r>
      <w:r w:rsidR="00303F46" w:rsidRPr="002146B1">
        <w:t>, however,</w:t>
      </w:r>
      <w:r w:rsidR="0063156A" w:rsidRPr="002146B1">
        <w:t xml:space="preserve"> </w:t>
      </w:r>
      <w:r w:rsidR="008C150F" w:rsidRPr="002146B1">
        <w:t>suggests that the event is poorly represented</w:t>
      </w:r>
      <w:r w:rsidR="00303F46" w:rsidRPr="002146B1">
        <w:t xml:space="preserve">. </w:t>
      </w:r>
      <w:r w:rsidR="006370DE" w:rsidRPr="002146B1">
        <w:t>This possibly agrees</w:t>
      </w:r>
      <w:r w:rsidR="00303F46" w:rsidRPr="002146B1">
        <w:t xml:space="preserve"> with </w:t>
      </w:r>
      <w:r w:rsidR="006370DE" w:rsidRPr="002146B1">
        <w:t xml:space="preserve">the pollen record from </w:t>
      </w:r>
      <w:r w:rsidR="00303F46" w:rsidRPr="002146B1">
        <w:t xml:space="preserve">Lago del Greppo, where </w:t>
      </w:r>
      <w:r w:rsidR="006370DE" w:rsidRPr="002146B1">
        <w:t>the event also appears to be poorly represented or absent</w:t>
      </w:r>
      <w:r w:rsidR="00704B1C">
        <w:rPr>
          <w:rStyle w:val="FootnoteReference"/>
        </w:rPr>
        <w:footnoteReference w:id="32"/>
      </w:r>
      <w:r w:rsidR="006370DE" w:rsidRPr="002146B1">
        <w:t xml:space="preserve">. </w:t>
      </w:r>
      <w:r w:rsidR="00AD115B" w:rsidRPr="002146B1">
        <w:t>The return of colder climatic conditions at this time has been recorded in</w:t>
      </w:r>
      <w:r w:rsidR="00D54C0F" w:rsidRPr="002146B1">
        <w:t xml:space="preserve"> several lake sequences in the Mediterranean</w:t>
      </w:r>
      <w:r w:rsidR="00704B1C">
        <w:rPr>
          <w:rStyle w:val="FootnoteReference"/>
        </w:rPr>
        <w:footnoteReference w:id="33"/>
      </w:r>
      <w:r w:rsidR="00F80FAD" w:rsidRPr="002146B1">
        <w:t xml:space="preserve"> and </w:t>
      </w:r>
      <w:r w:rsidR="00AD115B" w:rsidRPr="002146B1">
        <w:t>Italy</w:t>
      </w:r>
      <w:r w:rsidR="00704B1C">
        <w:rPr>
          <w:rStyle w:val="FootnoteReference"/>
        </w:rPr>
        <w:footnoteReference w:id="34"/>
      </w:r>
      <w:r w:rsidR="00D54C0F" w:rsidRPr="002146B1">
        <w:t>, whilst in the northern Apenni</w:t>
      </w:r>
      <w:r w:rsidR="00CA4749" w:rsidRPr="002146B1">
        <w:t xml:space="preserve">nes, </w:t>
      </w:r>
      <w:r w:rsidR="007B3E15" w:rsidRPr="002146B1">
        <w:t xml:space="preserve">Prato Spilla </w:t>
      </w:r>
      <w:r w:rsidR="00D54C0F" w:rsidRPr="002146B1">
        <w:t>‘</w:t>
      </w:r>
      <w:r w:rsidR="007B3E15" w:rsidRPr="002146B1">
        <w:t>A</w:t>
      </w:r>
      <w:r w:rsidR="00D54C0F" w:rsidRPr="002146B1">
        <w:t>’</w:t>
      </w:r>
      <w:r w:rsidR="008C78C3" w:rsidRPr="002146B1">
        <w:t xml:space="preserve"> </w:t>
      </w:r>
      <w:r w:rsidR="00CA4749" w:rsidRPr="002146B1">
        <w:t>has indicated the</w:t>
      </w:r>
      <w:r w:rsidR="00D54C0F" w:rsidRPr="002146B1">
        <w:t xml:space="preserve"> </w:t>
      </w:r>
      <w:r w:rsidR="00303F46" w:rsidRPr="002146B1">
        <w:t xml:space="preserve">clear </w:t>
      </w:r>
      <w:r w:rsidR="00F74063" w:rsidRPr="002146B1">
        <w:t xml:space="preserve">expansion of herbaceous taxa and the </w:t>
      </w:r>
      <w:r w:rsidR="007B3E15" w:rsidRPr="002146B1">
        <w:t xml:space="preserve">dominance of open </w:t>
      </w:r>
      <w:r w:rsidR="007B3E15" w:rsidRPr="002146B1">
        <w:rPr>
          <w:i/>
        </w:rPr>
        <w:t>Pinus</w:t>
      </w:r>
      <w:r w:rsidR="007B3E15" w:rsidRPr="002146B1">
        <w:t xml:space="preserve"> woodland</w:t>
      </w:r>
      <w:r w:rsidR="00F74063" w:rsidRPr="002146B1">
        <w:t>,</w:t>
      </w:r>
      <w:r w:rsidR="007B3E15" w:rsidRPr="002146B1">
        <w:t xml:space="preserve"> and lesser amounts of </w:t>
      </w:r>
      <w:r w:rsidR="007B3E15" w:rsidRPr="002146B1">
        <w:rPr>
          <w:i/>
        </w:rPr>
        <w:t>Abies</w:t>
      </w:r>
      <w:r w:rsidR="00F74063" w:rsidRPr="002146B1">
        <w:t xml:space="preserve">, </w:t>
      </w:r>
      <w:r w:rsidR="00D54C0F" w:rsidRPr="002146B1">
        <w:t xml:space="preserve">during the same period </w:t>
      </w:r>
      <w:r w:rsidR="007B3E15" w:rsidRPr="002146B1">
        <w:t>(</w:t>
      </w:r>
      <w:r w:rsidR="008C78C3" w:rsidRPr="002146B1">
        <w:t xml:space="preserve">~12,581 cal yrs BP; </w:t>
      </w:r>
      <w:r w:rsidR="00B95555" w:rsidRPr="002146B1">
        <w:t xml:space="preserve">Lowe 1992; </w:t>
      </w:r>
      <w:r w:rsidR="007B3E15" w:rsidRPr="002146B1">
        <w:t xml:space="preserve">Lowe </w:t>
      </w:r>
      <w:r w:rsidR="007B3E15" w:rsidRPr="002146B1">
        <w:rPr>
          <w:i/>
        </w:rPr>
        <w:t>et al</w:t>
      </w:r>
      <w:r w:rsidR="00D54C0F" w:rsidRPr="002146B1">
        <w:rPr>
          <w:i/>
        </w:rPr>
        <w:t>.</w:t>
      </w:r>
      <w:r w:rsidR="007B3E15" w:rsidRPr="002146B1">
        <w:t xml:space="preserve"> 1994</w:t>
      </w:r>
      <w:r w:rsidR="00491CBE" w:rsidRPr="002146B1">
        <w:t>b</w:t>
      </w:r>
      <w:r w:rsidR="00D54C0F" w:rsidRPr="002146B1">
        <w:t>).</w:t>
      </w:r>
    </w:p>
    <w:p w:rsidR="007E60F8" w:rsidRDefault="007E60F8" w:rsidP="003724E0">
      <w:pPr>
        <w:jc w:val="both"/>
      </w:pPr>
    </w:p>
    <w:p w:rsidR="00A83085" w:rsidRPr="00403791" w:rsidRDefault="00A83085" w:rsidP="003724E0">
      <w:pPr>
        <w:jc w:val="both"/>
        <w:rPr>
          <w:b/>
          <w:i/>
        </w:rPr>
      </w:pPr>
      <w:r w:rsidRPr="00403791">
        <w:rPr>
          <w:b/>
          <w:i/>
        </w:rPr>
        <w:t>Early Holocene</w:t>
      </w:r>
    </w:p>
    <w:p w:rsidR="00D46F85" w:rsidRPr="002146B1" w:rsidRDefault="00AD18A4" w:rsidP="003724E0">
      <w:pPr>
        <w:jc w:val="both"/>
      </w:pPr>
      <w:r w:rsidRPr="002146B1">
        <w:t xml:space="preserve">The transition to </w:t>
      </w:r>
      <w:r w:rsidR="00E57727" w:rsidRPr="002146B1">
        <w:t>the Early Holocene at Rovegno was</w:t>
      </w:r>
      <w:r w:rsidRPr="002146B1">
        <w:t xml:space="preserve"> deno</w:t>
      </w:r>
      <w:r w:rsidR="00F377B1" w:rsidRPr="002146B1">
        <w:t xml:space="preserve">ted by the succession from shrubland to open </w:t>
      </w:r>
      <w:r w:rsidRPr="002146B1">
        <w:t xml:space="preserve">woodland communities, dominated by </w:t>
      </w:r>
      <w:r w:rsidR="00AE67C3" w:rsidRPr="002146B1">
        <w:rPr>
          <w:i/>
        </w:rPr>
        <w:t>Abies</w:t>
      </w:r>
      <w:r w:rsidR="00AE67C3" w:rsidRPr="002146B1">
        <w:t xml:space="preserve">, </w:t>
      </w:r>
      <w:r w:rsidR="00AE67C3" w:rsidRPr="002146B1">
        <w:rPr>
          <w:i/>
        </w:rPr>
        <w:t>Quercus</w:t>
      </w:r>
      <w:r w:rsidR="00AE67C3" w:rsidRPr="002146B1">
        <w:t xml:space="preserve"> and </w:t>
      </w:r>
      <w:r w:rsidR="00AE67C3" w:rsidRPr="002146B1">
        <w:rPr>
          <w:i/>
        </w:rPr>
        <w:t>Corylus</w:t>
      </w:r>
      <w:r w:rsidR="00F377B1" w:rsidRPr="002146B1">
        <w:t xml:space="preserve">. At Prato Spilla </w:t>
      </w:r>
      <w:r w:rsidR="00E57727" w:rsidRPr="002146B1">
        <w:t>‘</w:t>
      </w:r>
      <w:r w:rsidR="00F377B1" w:rsidRPr="002146B1">
        <w:t>A</w:t>
      </w:r>
      <w:r w:rsidR="00E57727" w:rsidRPr="002146B1">
        <w:t>’</w:t>
      </w:r>
      <w:r w:rsidR="00F377B1" w:rsidRPr="002146B1">
        <w:t xml:space="preserve"> and </w:t>
      </w:r>
      <w:r w:rsidR="00E57727" w:rsidRPr="002146B1">
        <w:t>‘</w:t>
      </w:r>
      <w:r w:rsidR="00F377B1" w:rsidRPr="002146B1">
        <w:t>C</w:t>
      </w:r>
      <w:r w:rsidR="00E57727" w:rsidRPr="002146B1">
        <w:t>’</w:t>
      </w:r>
      <w:r w:rsidR="00F377B1" w:rsidRPr="002146B1">
        <w:t xml:space="preserve"> the pollen records indicate a similar expansion of thermphilous taxa, although the nearest radiocarbon dates following the transition</w:t>
      </w:r>
      <w:r w:rsidR="00E57727" w:rsidRPr="002146B1">
        <w:t>,</w:t>
      </w:r>
      <w:r w:rsidR="00F377B1" w:rsidRPr="002146B1">
        <w:t xml:space="preserve"> at 12,175 cal yrs BP and 12,477 cal yrs BP (respectively)</w:t>
      </w:r>
      <w:r w:rsidR="00E57727" w:rsidRPr="002146B1">
        <w:t>,</w:t>
      </w:r>
      <w:r w:rsidR="00F377B1" w:rsidRPr="002146B1">
        <w:t xml:space="preserve"> seem incompatible with the widely recognised date for the onset of the Holocene at ~11,700 cal yrs BP</w:t>
      </w:r>
      <w:r w:rsidR="00704B1C">
        <w:rPr>
          <w:rStyle w:val="FootnoteReference"/>
        </w:rPr>
        <w:footnoteReference w:id="35"/>
      </w:r>
      <w:r w:rsidR="00F377B1" w:rsidRPr="002146B1">
        <w:t>.</w:t>
      </w:r>
      <w:r w:rsidR="00516A94" w:rsidRPr="002146B1">
        <w:t xml:space="preserve"> </w:t>
      </w:r>
      <w:r w:rsidR="00271EA8" w:rsidRPr="002146B1">
        <w:t xml:space="preserve">The onset of sedimentation at ~10,500 cal yrs BP at Lago Riane marked the expansion of mixed deciduous – coniferous woodland, comprising </w:t>
      </w:r>
      <w:r w:rsidR="00271EA8" w:rsidRPr="002146B1">
        <w:rPr>
          <w:i/>
        </w:rPr>
        <w:t>Abies</w:t>
      </w:r>
      <w:r w:rsidR="00271EA8" w:rsidRPr="002146B1">
        <w:t xml:space="preserve"> with </w:t>
      </w:r>
      <w:r w:rsidR="00271EA8" w:rsidRPr="002146B1">
        <w:rPr>
          <w:i/>
        </w:rPr>
        <w:t>Pinus</w:t>
      </w:r>
      <w:r w:rsidR="00271EA8" w:rsidRPr="002146B1">
        <w:t xml:space="preserve">, </w:t>
      </w:r>
      <w:r w:rsidR="00271EA8" w:rsidRPr="002146B1">
        <w:rPr>
          <w:i/>
        </w:rPr>
        <w:t>Betula</w:t>
      </w:r>
      <w:r w:rsidR="00271EA8" w:rsidRPr="002146B1">
        <w:t xml:space="preserve">, </w:t>
      </w:r>
      <w:r w:rsidR="00271EA8" w:rsidRPr="002146B1">
        <w:rPr>
          <w:i/>
        </w:rPr>
        <w:t>Fraxinus</w:t>
      </w:r>
      <w:r w:rsidR="00271EA8" w:rsidRPr="002146B1">
        <w:t xml:space="preserve"> and </w:t>
      </w:r>
      <w:r w:rsidR="00271EA8" w:rsidRPr="002146B1">
        <w:rPr>
          <w:i/>
        </w:rPr>
        <w:t>Quercus</w:t>
      </w:r>
      <w:r w:rsidR="00704B1C">
        <w:rPr>
          <w:rStyle w:val="FootnoteReference"/>
        </w:rPr>
        <w:footnoteReference w:id="36"/>
      </w:r>
      <w:r w:rsidR="00D46F85" w:rsidRPr="002146B1">
        <w:t xml:space="preserve">, which is consistent with </w:t>
      </w:r>
      <w:r w:rsidR="00952734" w:rsidRPr="002146B1">
        <w:t>data from Rovegno</w:t>
      </w:r>
      <w:r w:rsidR="00516A94" w:rsidRPr="002146B1">
        <w:t>.</w:t>
      </w:r>
      <w:r w:rsidR="00952734" w:rsidRPr="002146B1">
        <w:t xml:space="preserve"> However, whilst all </w:t>
      </w:r>
      <w:r w:rsidR="00D46F85" w:rsidRPr="002146B1">
        <w:t xml:space="preserve">high elevation </w:t>
      </w:r>
      <w:r w:rsidR="00952734" w:rsidRPr="002146B1">
        <w:t>sites confirm</w:t>
      </w:r>
      <w:r w:rsidR="00271EA8" w:rsidRPr="002146B1">
        <w:t xml:space="preserve"> that during the Early Holocene </w:t>
      </w:r>
      <w:r w:rsidR="00271EA8" w:rsidRPr="002146B1">
        <w:rPr>
          <w:i/>
        </w:rPr>
        <w:t xml:space="preserve">Abies </w:t>
      </w:r>
      <w:r w:rsidR="00271EA8" w:rsidRPr="002146B1">
        <w:t>was a dominant compon</w:t>
      </w:r>
      <w:r w:rsidR="00952734" w:rsidRPr="002146B1">
        <w:t xml:space="preserve">ent within the woodland cover, at mid-altitudes, </w:t>
      </w:r>
      <w:r w:rsidR="00271EA8" w:rsidRPr="002146B1">
        <w:t xml:space="preserve">such as Rovegno, </w:t>
      </w:r>
      <w:r w:rsidR="00271EA8" w:rsidRPr="002146B1">
        <w:rPr>
          <w:i/>
        </w:rPr>
        <w:t>Quercus</w:t>
      </w:r>
      <w:r w:rsidR="00D46F85" w:rsidRPr="002146B1">
        <w:t xml:space="preserve"> was </w:t>
      </w:r>
      <w:r w:rsidR="00952734" w:rsidRPr="002146B1">
        <w:t xml:space="preserve">equally </w:t>
      </w:r>
      <w:r w:rsidR="00271EA8" w:rsidRPr="002146B1">
        <w:t>important</w:t>
      </w:r>
      <w:r w:rsidR="00704B1C">
        <w:rPr>
          <w:rStyle w:val="FootnoteReference"/>
        </w:rPr>
        <w:footnoteReference w:id="37"/>
      </w:r>
      <w:r w:rsidR="00271EA8" w:rsidRPr="002146B1">
        <w:t>.</w:t>
      </w:r>
    </w:p>
    <w:p w:rsidR="00D46F85" w:rsidRPr="002146B1" w:rsidRDefault="00D46F85" w:rsidP="003724E0">
      <w:pPr>
        <w:jc w:val="both"/>
      </w:pPr>
    </w:p>
    <w:p w:rsidR="005359A0" w:rsidRPr="002146B1" w:rsidRDefault="005359A0" w:rsidP="003724E0">
      <w:pPr>
        <w:jc w:val="both"/>
      </w:pPr>
      <w:r w:rsidRPr="002146B1">
        <w:t xml:space="preserve">The timing of the colonisation of </w:t>
      </w:r>
      <w:r w:rsidRPr="002146B1">
        <w:rPr>
          <w:i/>
        </w:rPr>
        <w:t xml:space="preserve">Corylus, </w:t>
      </w:r>
      <w:r w:rsidR="00487490" w:rsidRPr="002146B1">
        <w:t>from ~10,5</w:t>
      </w:r>
      <w:r w:rsidRPr="002146B1">
        <w:t>00-9500 cal yrs BP, appears to have been broadly similar across the northern Apennines</w:t>
      </w:r>
      <w:r w:rsidR="009D7540">
        <w:rPr>
          <w:rStyle w:val="FootnoteReference"/>
        </w:rPr>
        <w:footnoteReference w:id="38"/>
      </w:r>
      <w:r w:rsidRPr="002146B1">
        <w:t>. Although a complex picture has emerged for the precise timing and successional dynamics of the ‘</w:t>
      </w:r>
      <w:r w:rsidRPr="002146B1">
        <w:rPr>
          <w:i/>
        </w:rPr>
        <w:t xml:space="preserve">Corylus </w:t>
      </w:r>
      <w:r w:rsidRPr="002146B1">
        <w:t>rise’ in central and southern Europe</w:t>
      </w:r>
      <w:r w:rsidR="009D7540">
        <w:rPr>
          <w:rStyle w:val="FootnoteReference"/>
        </w:rPr>
        <w:footnoteReference w:id="39"/>
      </w:r>
      <w:r w:rsidRPr="002146B1">
        <w:t>, the data from the northern Apennines do appear to be consistent with adjacent areas.</w:t>
      </w:r>
      <w:r w:rsidR="00952734" w:rsidRPr="002146B1">
        <w:t xml:space="preserve"> Interestingly, at Rovegno the ‘abrupt’ nature of the ‘</w:t>
      </w:r>
      <w:r w:rsidR="00952734" w:rsidRPr="002146B1">
        <w:rPr>
          <w:i/>
        </w:rPr>
        <w:t>Corylus</w:t>
      </w:r>
      <w:r w:rsidR="00952734" w:rsidRPr="002146B1">
        <w:t xml:space="preserve"> rise’ (ROV-6b) suggests that it occurred following a hiatus in sedimentation during the earliest Holocene. The timing and duration of the hiatus remains uncertain, but the cessation in sedimentation </w:t>
      </w:r>
      <w:r w:rsidR="00952734" w:rsidRPr="002146B1">
        <w:lastRenderedPageBreak/>
        <w:t xml:space="preserve">may be consistent with other sites, such as Lago </w:t>
      </w:r>
      <w:proofErr w:type="spellStart"/>
      <w:r w:rsidR="00952734" w:rsidRPr="002146B1">
        <w:t>Riane</w:t>
      </w:r>
      <w:proofErr w:type="spellEnd"/>
      <w:r w:rsidR="009D7540">
        <w:rPr>
          <w:rStyle w:val="FootnoteReference"/>
        </w:rPr>
        <w:footnoteReference w:id="40"/>
      </w:r>
      <w:r w:rsidR="00952734" w:rsidRPr="002146B1">
        <w:t>.</w:t>
      </w:r>
      <w:r w:rsidR="00D46F85" w:rsidRPr="002146B1">
        <w:t xml:space="preserve"> The cause of the ‘</w:t>
      </w:r>
      <w:r w:rsidR="00D46F85" w:rsidRPr="002146B1">
        <w:rPr>
          <w:i/>
        </w:rPr>
        <w:t>Corylus</w:t>
      </w:r>
      <w:r w:rsidR="00D46F85" w:rsidRPr="002146B1">
        <w:t xml:space="preserve"> rise’ has been attributed to climate change, distance from glacial refugia, </w:t>
      </w:r>
      <w:r w:rsidR="001442C7" w:rsidRPr="002146B1">
        <w:t>and the</w:t>
      </w:r>
      <w:r w:rsidR="00D46F85" w:rsidRPr="002146B1">
        <w:t xml:space="preserve"> migration rate of </w:t>
      </w:r>
      <w:r w:rsidR="00D46F85" w:rsidRPr="002146B1">
        <w:rPr>
          <w:i/>
        </w:rPr>
        <w:t>Corylus</w:t>
      </w:r>
      <w:r w:rsidR="00D46F85" w:rsidRPr="002146B1">
        <w:t>, competition or Mesolithic human activities</w:t>
      </w:r>
      <w:r w:rsidR="009D7540" w:rsidRPr="009D7540">
        <w:rPr>
          <w:rStyle w:val="FootnoteReference"/>
        </w:rPr>
        <w:footnoteReference w:id="41"/>
      </w:r>
      <w:r w:rsidR="00D46F85" w:rsidRPr="009D7540">
        <w:t xml:space="preserve"> (</w:t>
      </w:r>
      <w:r w:rsidR="00BD5806" w:rsidRPr="009D7540">
        <w:t>see fig. 2</w:t>
      </w:r>
      <w:r w:rsidR="00D46F85" w:rsidRPr="009D7540">
        <w:t>).</w:t>
      </w:r>
      <w:r w:rsidR="00D46F85" w:rsidRPr="002146B1">
        <w:t xml:space="preserve"> Unfortunately, the data from Rovegno add very little to the current debate, although given the archaeological evidence for human activities in the mountains at this time</w:t>
      </w:r>
      <w:r w:rsidR="007029C3" w:rsidRPr="002146B1">
        <w:t>, this cannot be excluded as a possibility.</w:t>
      </w:r>
    </w:p>
    <w:p w:rsidR="005359A0" w:rsidRPr="00403791" w:rsidRDefault="005359A0" w:rsidP="003724E0">
      <w:pPr>
        <w:jc w:val="both"/>
      </w:pPr>
    </w:p>
    <w:p w:rsidR="00805C78" w:rsidRPr="002146B1" w:rsidRDefault="001C592A" w:rsidP="003724E0">
      <w:pPr>
        <w:jc w:val="both"/>
      </w:pPr>
      <w:r w:rsidRPr="002146B1">
        <w:t xml:space="preserve">For the remainder of the Early </w:t>
      </w:r>
      <w:r w:rsidR="000118CE" w:rsidRPr="002146B1">
        <w:t>Holocene</w:t>
      </w:r>
      <w:r w:rsidR="00805C78" w:rsidRPr="002146B1">
        <w:t xml:space="preserve">, </w:t>
      </w:r>
      <w:r w:rsidR="00805C78" w:rsidRPr="002146B1">
        <w:rPr>
          <w:i/>
        </w:rPr>
        <w:t>Abies</w:t>
      </w:r>
      <w:r w:rsidR="00805C78" w:rsidRPr="002146B1">
        <w:t xml:space="preserve"> dominated the upland zone of the northern Apennines, forming a mixed coniferous-deciduous woodland cover with </w:t>
      </w:r>
      <w:r w:rsidR="00805C78" w:rsidRPr="002146B1">
        <w:rPr>
          <w:i/>
        </w:rPr>
        <w:t>Quercus</w:t>
      </w:r>
      <w:r w:rsidR="00805C78" w:rsidRPr="002146B1">
        <w:t xml:space="preserve">, </w:t>
      </w:r>
      <w:r w:rsidR="00805C78" w:rsidRPr="002146B1">
        <w:rPr>
          <w:i/>
        </w:rPr>
        <w:t xml:space="preserve">Tilia, Ulmus </w:t>
      </w:r>
      <w:r w:rsidR="00805C78" w:rsidRPr="002146B1">
        <w:t xml:space="preserve">and </w:t>
      </w:r>
      <w:r w:rsidR="00805C78" w:rsidRPr="002146B1">
        <w:rPr>
          <w:i/>
        </w:rPr>
        <w:t>Corylus</w:t>
      </w:r>
      <w:r w:rsidR="009D7540" w:rsidRPr="009D7540">
        <w:rPr>
          <w:rStyle w:val="FootnoteReference"/>
        </w:rPr>
        <w:footnoteReference w:id="42"/>
      </w:r>
      <w:r w:rsidR="00805C78" w:rsidRPr="002146B1">
        <w:t>. At lower ele</w:t>
      </w:r>
      <w:r w:rsidR="00264BF4" w:rsidRPr="002146B1">
        <w:t xml:space="preserve">vations, sites such as Rovegno </w:t>
      </w:r>
      <w:r w:rsidR="00805C78" w:rsidRPr="002146B1">
        <w:t>and Lago di Bargone</w:t>
      </w:r>
      <w:r w:rsidR="009D7540">
        <w:rPr>
          <w:rStyle w:val="FootnoteReference"/>
        </w:rPr>
        <w:footnoteReference w:id="43"/>
      </w:r>
      <w:r w:rsidR="00805C78" w:rsidRPr="002146B1">
        <w:t xml:space="preserve">, indicate a higher proportion of </w:t>
      </w:r>
      <w:r w:rsidR="00805C78" w:rsidRPr="002146B1">
        <w:rPr>
          <w:i/>
        </w:rPr>
        <w:t xml:space="preserve">Quercus </w:t>
      </w:r>
      <w:r w:rsidR="00805C78" w:rsidRPr="002146B1">
        <w:t xml:space="preserve">within the </w:t>
      </w:r>
      <w:r w:rsidR="00805C78" w:rsidRPr="002146B1">
        <w:rPr>
          <w:i/>
        </w:rPr>
        <w:t xml:space="preserve">Abies </w:t>
      </w:r>
      <w:r w:rsidR="00805C78" w:rsidRPr="002146B1">
        <w:t xml:space="preserve">woodland, the declining importance of </w:t>
      </w:r>
      <w:r w:rsidR="00805C78" w:rsidRPr="002146B1">
        <w:rPr>
          <w:i/>
        </w:rPr>
        <w:t>Pinus</w:t>
      </w:r>
      <w:r w:rsidR="00805C78" w:rsidRPr="002146B1">
        <w:t xml:space="preserve">, and the increasing presence of </w:t>
      </w:r>
      <w:r w:rsidR="00805C78" w:rsidRPr="002146B1">
        <w:rPr>
          <w:i/>
        </w:rPr>
        <w:t>Fagus</w:t>
      </w:r>
      <w:r w:rsidR="00805C78" w:rsidRPr="002146B1">
        <w:t xml:space="preserve">. The presence of </w:t>
      </w:r>
      <w:r w:rsidR="00805C78" w:rsidRPr="002146B1">
        <w:rPr>
          <w:i/>
        </w:rPr>
        <w:t>Fagus</w:t>
      </w:r>
      <w:r w:rsidR="00805C78" w:rsidRPr="002146B1">
        <w:t xml:space="preserve"> at lower elevations is consistent with data from Lagorara, where it is co-dominant with </w:t>
      </w:r>
      <w:r w:rsidR="00805C78" w:rsidRPr="002146B1">
        <w:rPr>
          <w:i/>
        </w:rPr>
        <w:t>Abies</w:t>
      </w:r>
      <w:r w:rsidR="00805C78" w:rsidRPr="002146B1">
        <w:t xml:space="preserve"> from ~7600 cal yrs BP</w:t>
      </w:r>
      <w:r w:rsidR="009D7540">
        <w:rPr>
          <w:rStyle w:val="FootnoteReference"/>
        </w:rPr>
        <w:footnoteReference w:id="44"/>
      </w:r>
      <w:r w:rsidR="00805C78" w:rsidRPr="002146B1">
        <w:t>.</w:t>
      </w:r>
    </w:p>
    <w:p w:rsidR="008D49FA" w:rsidRPr="00403791" w:rsidRDefault="008D49FA" w:rsidP="003724E0">
      <w:pPr>
        <w:jc w:val="both"/>
      </w:pPr>
    </w:p>
    <w:p w:rsidR="008D49FA" w:rsidRPr="00403791" w:rsidRDefault="008D4BB9" w:rsidP="003724E0">
      <w:pPr>
        <w:jc w:val="both"/>
        <w:rPr>
          <w:b/>
          <w:i/>
        </w:rPr>
      </w:pPr>
      <w:r w:rsidRPr="00403791">
        <w:rPr>
          <w:b/>
          <w:i/>
        </w:rPr>
        <w:t>Middle</w:t>
      </w:r>
      <w:r w:rsidR="008D49FA" w:rsidRPr="00403791">
        <w:rPr>
          <w:b/>
          <w:i/>
        </w:rPr>
        <w:t xml:space="preserve"> Holocene</w:t>
      </w:r>
    </w:p>
    <w:p w:rsidR="005B65E4" w:rsidRPr="002146B1" w:rsidRDefault="002818C0" w:rsidP="003724E0">
      <w:pPr>
        <w:jc w:val="both"/>
      </w:pPr>
      <w:r w:rsidRPr="002146B1">
        <w:t xml:space="preserve">The onset of the Middle Holocene (~7000-6000 cal yrs BP) was marked by contrasting </w:t>
      </w:r>
      <w:r w:rsidR="005B65E4" w:rsidRPr="002146B1">
        <w:t xml:space="preserve">vegetation </w:t>
      </w:r>
      <w:r w:rsidRPr="002146B1">
        <w:t>patterns</w:t>
      </w:r>
      <w:r w:rsidR="00DD1E20" w:rsidRPr="002146B1">
        <w:t xml:space="preserve"> in the upland zone of the northern Apennines</w:t>
      </w:r>
      <w:r w:rsidRPr="002146B1">
        <w:t xml:space="preserve">: </w:t>
      </w:r>
      <w:r w:rsidR="005B65E4" w:rsidRPr="002146B1">
        <w:t xml:space="preserve">(a) </w:t>
      </w:r>
      <w:r w:rsidRPr="002146B1">
        <w:t xml:space="preserve">a sustained reduction in </w:t>
      </w:r>
      <w:r w:rsidRPr="002146B1">
        <w:rPr>
          <w:i/>
        </w:rPr>
        <w:t>Abies</w:t>
      </w:r>
      <w:r w:rsidRPr="002146B1">
        <w:t xml:space="preserve"> woodland (e.g. Lago Rotondo)</w:t>
      </w:r>
      <w:r w:rsidR="005B65E4" w:rsidRPr="002146B1">
        <w:t xml:space="preserve">, (b) </w:t>
      </w:r>
      <w:r w:rsidRPr="002146B1">
        <w:t>a temporary decline (e.g. Lago Riane, Lago Padule and Lago Pratignano)</w:t>
      </w:r>
      <w:r w:rsidR="005B65E4" w:rsidRPr="002146B1">
        <w:t>,</w:t>
      </w:r>
      <w:r w:rsidR="00DD1E20" w:rsidRPr="002146B1">
        <w:t xml:space="preserve"> (c) the persistence of </w:t>
      </w:r>
      <w:r w:rsidR="00DD1E20" w:rsidRPr="002146B1">
        <w:rPr>
          <w:i/>
        </w:rPr>
        <w:t>Abies</w:t>
      </w:r>
      <w:r w:rsidR="00DD1E20" w:rsidRPr="002146B1">
        <w:t xml:space="preserve"> (e.g. Prato Spilla ‘A’ and Lago del Greppo),</w:t>
      </w:r>
      <w:r w:rsidR="005B65E4" w:rsidRPr="002146B1">
        <w:t xml:space="preserve"> and </w:t>
      </w:r>
      <w:r w:rsidR="00DD1E20" w:rsidRPr="002146B1">
        <w:t xml:space="preserve">(d) </w:t>
      </w:r>
      <w:r w:rsidR="005B65E4" w:rsidRPr="002146B1">
        <w:t xml:space="preserve">the broadly synchronous expansion of </w:t>
      </w:r>
      <w:r w:rsidR="005B65E4" w:rsidRPr="002146B1">
        <w:rPr>
          <w:i/>
        </w:rPr>
        <w:t>Fagus</w:t>
      </w:r>
      <w:r w:rsidR="005B65E4" w:rsidRPr="002146B1">
        <w:t xml:space="preserve"> woodland</w:t>
      </w:r>
      <w:r w:rsidR="00F55833">
        <w:rPr>
          <w:rStyle w:val="FootnoteReference"/>
        </w:rPr>
        <w:footnoteReference w:id="45"/>
      </w:r>
      <w:r w:rsidR="005B65E4" w:rsidRPr="002146B1">
        <w:t xml:space="preserve">. This general pattern coincided with increases in </w:t>
      </w:r>
      <w:r w:rsidR="005B65E4" w:rsidRPr="002146B1">
        <w:rPr>
          <w:i/>
        </w:rPr>
        <w:t>Quercus</w:t>
      </w:r>
      <w:r w:rsidR="005B65E4" w:rsidRPr="002146B1">
        <w:t xml:space="preserve"> and </w:t>
      </w:r>
      <w:r w:rsidR="005B65E4" w:rsidRPr="002146B1">
        <w:rPr>
          <w:i/>
        </w:rPr>
        <w:t>Corylus</w:t>
      </w:r>
      <w:r w:rsidR="0011230D" w:rsidRPr="002146B1">
        <w:t>, and herbaceous taxa</w:t>
      </w:r>
      <w:r w:rsidR="005B65E4" w:rsidRPr="002146B1">
        <w:t xml:space="preserve"> (e.g. </w:t>
      </w:r>
      <w:r w:rsidR="005B65E4" w:rsidRPr="002146B1">
        <w:rPr>
          <w:i/>
        </w:rPr>
        <w:t>Plantago lanceolata</w:t>
      </w:r>
      <w:r w:rsidR="005B65E4" w:rsidRPr="002146B1">
        <w:t xml:space="preserve">), and a reduction in </w:t>
      </w:r>
      <w:r w:rsidR="005B65E4" w:rsidRPr="002146B1">
        <w:rPr>
          <w:i/>
        </w:rPr>
        <w:t>Tilia</w:t>
      </w:r>
      <w:r w:rsidR="005B65E4" w:rsidRPr="002146B1">
        <w:t xml:space="preserve">, </w:t>
      </w:r>
      <w:r w:rsidR="005B65E4" w:rsidRPr="002146B1">
        <w:rPr>
          <w:i/>
        </w:rPr>
        <w:t xml:space="preserve">Ulmus </w:t>
      </w:r>
      <w:r w:rsidR="005B65E4" w:rsidRPr="002146B1">
        <w:t xml:space="preserve">and </w:t>
      </w:r>
      <w:r w:rsidR="005B65E4" w:rsidRPr="002146B1">
        <w:rPr>
          <w:i/>
        </w:rPr>
        <w:t>Fraxinus.</w:t>
      </w:r>
      <w:r w:rsidR="00DD1E20" w:rsidRPr="002146B1">
        <w:rPr>
          <w:i/>
        </w:rPr>
        <w:t xml:space="preserve"> </w:t>
      </w:r>
      <w:r w:rsidR="005B65E4" w:rsidRPr="002146B1">
        <w:t xml:space="preserve">At lower elevations, </w:t>
      </w:r>
      <w:r w:rsidR="005B65E4" w:rsidRPr="002146B1">
        <w:rPr>
          <w:i/>
        </w:rPr>
        <w:t>Fagus</w:t>
      </w:r>
      <w:r w:rsidR="005B65E4" w:rsidRPr="002146B1">
        <w:t xml:space="preserve"> woodland was already well established at </w:t>
      </w:r>
      <w:proofErr w:type="spellStart"/>
      <w:r w:rsidR="005B65E4" w:rsidRPr="002146B1">
        <w:t>Lagorara</w:t>
      </w:r>
      <w:proofErr w:type="spellEnd"/>
      <w:r w:rsidR="00F55833">
        <w:rPr>
          <w:rStyle w:val="FootnoteReference"/>
        </w:rPr>
        <w:footnoteReference w:id="46"/>
      </w:r>
      <w:r w:rsidR="005B65E4" w:rsidRPr="002146B1">
        <w:t>, whilst at Lago di Bargone</w:t>
      </w:r>
      <w:r w:rsidR="00F55833">
        <w:rPr>
          <w:rStyle w:val="FootnoteReference"/>
        </w:rPr>
        <w:footnoteReference w:id="47"/>
      </w:r>
      <w:r w:rsidR="00F55833">
        <w:t xml:space="preserve"> </w:t>
      </w:r>
      <w:r w:rsidR="005B65E4" w:rsidRPr="002146B1">
        <w:t>and Rovegno</w:t>
      </w:r>
      <w:r w:rsidR="00F55833">
        <w:rPr>
          <w:rStyle w:val="FootnoteReference"/>
        </w:rPr>
        <w:footnoteReference w:id="48"/>
      </w:r>
      <w:r w:rsidR="005B65E4" w:rsidRPr="002146B1">
        <w:t xml:space="preserve"> </w:t>
      </w:r>
      <w:r w:rsidR="005B65E4" w:rsidRPr="002146B1">
        <w:rPr>
          <w:i/>
        </w:rPr>
        <w:t>Quercus</w:t>
      </w:r>
      <w:r w:rsidR="005B65E4" w:rsidRPr="002146B1">
        <w:t xml:space="preserve"> became increasingly dominant over</w:t>
      </w:r>
      <w:r w:rsidR="005B65E4" w:rsidRPr="002146B1">
        <w:rPr>
          <w:i/>
        </w:rPr>
        <w:t xml:space="preserve"> Abies</w:t>
      </w:r>
      <w:r w:rsidR="00C17387" w:rsidRPr="002146B1">
        <w:t>.</w:t>
      </w:r>
      <w:r w:rsidR="000D68C1" w:rsidRPr="002146B1">
        <w:t xml:space="preserve"> The presence of </w:t>
      </w:r>
      <w:r w:rsidR="000D68C1" w:rsidRPr="002146B1">
        <w:rPr>
          <w:i/>
        </w:rPr>
        <w:t>Fagus</w:t>
      </w:r>
      <w:r w:rsidR="000D68C1" w:rsidRPr="002146B1">
        <w:t xml:space="preserve"> from 6488-6318 cal yrs BP at Rovegno confirms that this taxon colonised mid-altitudes prior to its major expansion at higher elevations from ~6000 cal yrs BP</w:t>
      </w:r>
      <w:r w:rsidR="00F55833">
        <w:rPr>
          <w:rStyle w:val="FootnoteReference"/>
        </w:rPr>
        <w:footnoteReference w:id="49"/>
      </w:r>
      <w:r w:rsidR="000D68C1" w:rsidRPr="002146B1">
        <w:t>.</w:t>
      </w:r>
    </w:p>
    <w:p w:rsidR="00C17387" w:rsidRPr="002146B1" w:rsidRDefault="00C17387" w:rsidP="003724E0">
      <w:pPr>
        <w:jc w:val="both"/>
      </w:pPr>
    </w:p>
    <w:p w:rsidR="00C86353" w:rsidRPr="002146B1" w:rsidRDefault="00C17387" w:rsidP="003724E0">
      <w:pPr>
        <w:jc w:val="both"/>
      </w:pPr>
      <w:r w:rsidRPr="002146B1">
        <w:t xml:space="preserve">From ~6000 cal yrs BP, </w:t>
      </w:r>
      <w:r w:rsidRPr="002146B1">
        <w:rPr>
          <w:i/>
        </w:rPr>
        <w:t xml:space="preserve">Fagus </w:t>
      </w:r>
      <w:r w:rsidRPr="002146B1">
        <w:t xml:space="preserve">formed mixed </w:t>
      </w:r>
      <w:r w:rsidRPr="002146B1">
        <w:rPr>
          <w:i/>
        </w:rPr>
        <w:t>Abies</w:t>
      </w:r>
      <w:r w:rsidRPr="002146B1">
        <w:t>-</w:t>
      </w:r>
      <w:r w:rsidRPr="002146B1">
        <w:rPr>
          <w:i/>
        </w:rPr>
        <w:t>Fagus</w:t>
      </w:r>
      <w:r w:rsidRPr="002146B1">
        <w:t xml:space="preserve"> woodland across the upland zone of the northern Apennines, which coincided with further reductions in </w:t>
      </w:r>
      <w:r w:rsidRPr="002146B1">
        <w:rPr>
          <w:i/>
        </w:rPr>
        <w:t>Ulmus</w:t>
      </w:r>
      <w:r w:rsidRPr="002146B1">
        <w:t xml:space="preserve">, </w:t>
      </w:r>
      <w:r w:rsidRPr="002146B1">
        <w:rPr>
          <w:i/>
        </w:rPr>
        <w:t>Tilia</w:t>
      </w:r>
      <w:r w:rsidRPr="002146B1">
        <w:t xml:space="preserve"> and </w:t>
      </w:r>
      <w:r w:rsidRPr="002146B1">
        <w:rPr>
          <w:i/>
        </w:rPr>
        <w:t>Fraxinus</w:t>
      </w:r>
      <w:r w:rsidRPr="002146B1">
        <w:t xml:space="preserve">, increases in herbaceous taxa (e.g. </w:t>
      </w:r>
      <w:r w:rsidRPr="002146B1">
        <w:rPr>
          <w:i/>
        </w:rPr>
        <w:t>Plantago lanceolata</w:t>
      </w:r>
      <w:r w:rsidRPr="002146B1">
        <w:t xml:space="preserve"> and Poaceae), as well as </w:t>
      </w:r>
      <w:r w:rsidRPr="002146B1">
        <w:rPr>
          <w:i/>
        </w:rPr>
        <w:t xml:space="preserve">Carpinus </w:t>
      </w:r>
      <w:r w:rsidRPr="002146B1">
        <w:t xml:space="preserve">and </w:t>
      </w:r>
      <w:r w:rsidRPr="002146B1">
        <w:rPr>
          <w:i/>
        </w:rPr>
        <w:t>Ostrya</w:t>
      </w:r>
      <w:r w:rsidRPr="002146B1">
        <w:t xml:space="preserve">. At lower elevations, </w:t>
      </w:r>
      <w:r w:rsidRPr="002146B1">
        <w:rPr>
          <w:i/>
        </w:rPr>
        <w:t>Quercus</w:t>
      </w:r>
      <w:r w:rsidRPr="002146B1">
        <w:t xml:space="preserve"> became dominant, with </w:t>
      </w:r>
      <w:r w:rsidRPr="002146B1">
        <w:rPr>
          <w:i/>
        </w:rPr>
        <w:t>Fagus</w:t>
      </w:r>
      <w:r w:rsidRPr="002146B1">
        <w:t xml:space="preserve"> only forming a minor component of the woodland </w:t>
      </w:r>
      <w:r w:rsidR="002E7503" w:rsidRPr="002146B1">
        <w:t>cover;</w:t>
      </w:r>
      <w:r w:rsidRPr="002146B1">
        <w:t xml:space="preserve"> </w:t>
      </w:r>
      <w:r w:rsidR="00E57727" w:rsidRPr="002146B1">
        <w:t>whilst coastal wetlands record an</w:t>
      </w:r>
      <w:r w:rsidRPr="002146B1">
        <w:t xml:space="preserve"> increase </w:t>
      </w:r>
      <w:r w:rsidR="00E57727" w:rsidRPr="002146B1">
        <w:t>in tree heath communities</w:t>
      </w:r>
      <w:r w:rsidR="00F55833">
        <w:rPr>
          <w:rStyle w:val="FootnoteReference"/>
        </w:rPr>
        <w:footnoteReference w:id="50"/>
      </w:r>
      <w:r w:rsidR="00E57727" w:rsidRPr="002146B1">
        <w:t xml:space="preserve">. </w:t>
      </w:r>
      <w:r w:rsidR="000F6BBE" w:rsidRPr="002146B1">
        <w:t xml:space="preserve">The period from ~4700 cal yrs BP </w:t>
      </w:r>
      <w:r w:rsidR="00E57727" w:rsidRPr="002146B1">
        <w:t xml:space="preserve">to the end of the Middle Holocene (~3000 cal yrs BP) </w:t>
      </w:r>
      <w:r w:rsidR="000F6BBE" w:rsidRPr="002146B1">
        <w:t xml:space="preserve">records a further major change in vegetation succession with the beginning of a sustained reduction in </w:t>
      </w:r>
      <w:r w:rsidR="000F6BBE" w:rsidRPr="002146B1">
        <w:rPr>
          <w:i/>
        </w:rPr>
        <w:t xml:space="preserve">Abies </w:t>
      </w:r>
      <w:r w:rsidR="000F6BBE" w:rsidRPr="002146B1">
        <w:t>woodland, and an overall increase in</w:t>
      </w:r>
      <w:r w:rsidR="000F6BBE" w:rsidRPr="002146B1">
        <w:rPr>
          <w:i/>
        </w:rPr>
        <w:t xml:space="preserve"> Fagus</w:t>
      </w:r>
      <w:r w:rsidR="000F6BBE" w:rsidRPr="002146B1">
        <w:t>, which suggests dynamic changes in the composition and structure of the woodland cover</w:t>
      </w:r>
      <w:r w:rsidR="00F55833">
        <w:rPr>
          <w:rStyle w:val="FootnoteReference"/>
        </w:rPr>
        <w:footnoteReference w:id="51"/>
      </w:r>
      <w:r w:rsidR="000F6BBE" w:rsidRPr="002146B1">
        <w:t xml:space="preserve">. It is at this time that several sites show a sustained increase in shrubland and </w:t>
      </w:r>
      <w:r w:rsidR="000F6BBE" w:rsidRPr="002146B1">
        <w:lastRenderedPageBreak/>
        <w:t>herbaceous taxa, indicating important changes in the vegetation structure of the northern Apennines.</w:t>
      </w:r>
    </w:p>
    <w:p w:rsidR="0026428D" w:rsidRPr="002146B1" w:rsidRDefault="0026428D" w:rsidP="003724E0">
      <w:pPr>
        <w:jc w:val="both"/>
      </w:pPr>
    </w:p>
    <w:p w:rsidR="003500F3" w:rsidRPr="002146B1" w:rsidRDefault="0010060D" w:rsidP="003724E0">
      <w:pPr>
        <w:jc w:val="both"/>
      </w:pPr>
      <w:r w:rsidRPr="002146B1">
        <w:t xml:space="preserve">The </w:t>
      </w:r>
      <w:r w:rsidR="0026428D" w:rsidRPr="002146B1">
        <w:t xml:space="preserve">decline </w:t>
      </w:r>
      <w:r w:rsidRPr="002146B1">
        <w:t xml:space="preserve">of the main woodland taxa at many sites was accompanied by </w:t>
      </w:r>
      <w:r w:rsidR="00C36B8D" w:rsidRPr="002146B1">
        <w:t xml:space="preserve">occasional </w:t>
      </w:r>
      <w:r w:rsidRPr="002146B1">
        <w:t>evidence for soil erosion and a general increase in non-arboreal taxa; this commenced during the Early and Middle Neolithic (~7800-6100 cal yrs BP), and continued during the Late Neolithic (~6100-5800 cal yrs BP), Copper Age (~5800-4200 cal yrs BP) and Bronze Age (~4200-2900 cal yrs BP)</w:t>
      </w:r>
      <w:r w:rsidR="00BD5806">
        <w:t xml:space="preserve"> (see fig. 3a and 3b)</w:t>
      </w:r>
      <w:r w:rsidRPr="002146B1">
        <w:t>. Although the</w:t>
      </w:r>
      <w:r w:rsidR="00C36B8D" w:rsidRPr="002146B1">
        <w:t>se changes are often associated with the spread of agriculture</w:t>
      </w:r>
      <w:r w:rsidR="000565EF" w:rsidRPr="002146B1">
        <w:t xml:space="preserve"> in many parts of Europe</w:t>
      </w:r>
      <w:r w:rsidR="00C36B8D" w:rsidRPr="002146B1">
        <w:t xml:space="preserve">, the palaeoecological evidence </w:t>
      </w:r>
      <w:r w:rsidR="000565EF" w:rsidRPr="002146B1">
        <w:t xml:space="preserve">for human activities at mid and high elevations in the northern Apennines </w:t>
      </w:r>
      <w:r w:rsidR="00C36B8D" w:rsidRPr="002146B1">
        <w:t>remains equivocal</w:t>
      </w:r>
      <w:r w:rsidR="00F55833">
        <w:rPr>
          <w:rStyle w:val="FootnoteReference"/>
        </w:rPr>
        <w:footnoteReference w:id="52"/>
      </w:r>
      <w:r w:rsidR="00C36B8D" w:rsidRPr="002146B1">
        <w:t xml:space="preserve">. In contrast, the archaeological evidence for </w:t>
      </w:r>
      <w:r w:rsidR="006136DB" w:rsidRPr="002146B1">
        <w:t xml:space="preserve">Early Neolithic human </w:t>
      </w:r>
      <w:r w:rsidR="00C36B8D" w:rsidRPr="002146B1">
        <w:t>activities employing a broad-spectrum economy in lowland, coastal areas is overwhelming</w:t>
      </w:r>
      <w:r w:rsidR="00F55833">
        <w:rPr>
          <w:rStyle w:val="FootnoteReference"/>
        </w:rPr>
        <w:footnoteReference w:id="53"/>
      </w:r>
      <w:r w:rsidR="000565EF" w:rsidRPr="002146B1">
        <w:t xml:space="preserve">. </w:t>
      </w:r>
      <w:r w:rsidR="006136DB" w:rsidRPr="002146B1">
        <w:t xml:space="preserve">From the Late Neolithic onwards, however, </w:t>
      </w:r>
      <w:r w:rsidR="006366A2" w:rsidRPr="002146B1">
        <w:t xml:space="preserve">the archaeological evidence </w:t>
      </w:r>
      <w:r w:rsidR="0053700A" w:rsidRPr="002146B1">
        <w:t>lends greater support</w:t>
      </w:r>
      <w:r w:rsidR="006366A2" w:rsidRPr="002146B1">
        <w:t xml:space="preserve"> </w:t>
      </w:r>
      <w:r w:rsidR="0053700A" w:rsidRPr="002146B1">
        <w:t xml:space="preserve">to </w:t>
      </w:r>
      <w:r w:rsidR="006366A2" w:rsidRPr="002146B1">
        <w:t>the palaeoecological data</w:t>
      </w:r>
      <w:r w:rsidR="0053700A" w:rsidRPr="002146B1">
        <w:t>, which infers</w:t>
      </w:r>
      <w:r w:rsidR="006366A2" w:rsidRPr="002146B1">
        <w:t xml:space="preserve"> greater human </w:t>
      </w:r>
      <w:r w:rsidR="0053700A" w:rsidRPr="002146B1">
        <w:t xml:space="preserve">disturbance at mid to high elevations, including </w:t>
      </w:r>
      <w:r w:rsidR="006366A2" w:rsidRPr="002146B1">
        <w:t>management, caused by pastoralism and the creation of upland pastures, as well as the utilisation of woodland fodder for sheep/goats, pigs and cattle as part of a system of transhumance</w:t>
      </w:r>
      <w:r w:rsidR="00F55833">
        <w:rPr>
          <w:rStyle w:val="FootnoteReference"/>
        </w:rPr>
        <w:footnoteReference w:id="54"/>
      </w:r>
      <w:r w:rsidR="003500F3" w:rsidRPr="002146B1">
        <w:t>.</w:t>
      </w:r>
      <w:r w:rsidR="00A60B3C" w:rsidRPr="002146B1">
        <w:t xml:space="preserve"> It has been argued that human activity may have been responsible, therefore, for the changes in woodland composition that occurred across the northern Apennines at this time</w:t>
      </w:r>
      <w:r w:rsidR="00782F47">
        <w:rPr>
          <w:rStyle w:val="FootnoteReference"/>
        </w:rPr>
        <w:footnoteReference w:id="55"/>
      </w:r>
      <w:r w:rsidR="00A60B3C" w:rsidRPr="002146B1">
        <w:t>.</w:t>
      </w:r>
    </w:p>
    <w:p w:rsidR="003500F3" w:rsidRPr="002146B1" w:rsidRDefault="003500F3" w:rsidP="003724E0">
      <w:pPr>
        <w:jc w:val="both"/>
      </w:pPr>
    </w:p>
    <w:p w:rsidR="003500F3" w:rsidRPr="002146B1" w:rsidRDefault="003500F3" w:rsidP="003724E0">
      <w:pPr>
        <w:jc w:val="both"/>
      </w:pPr>
      <w:r w:rsidRPr="002146B1">
        <w:t>The application of standard criteria for inferring human impact on the environment using palaeoecological data, such as woodland clearance, biomass burning and soil erosion remain uncertain, however, unless supported by direct evidence, such as cultivation. Additional methods must therefore be routinely employed in northern Apennine research to avoid ongoing circular arguments</w:t>
      </w:r>
      <w:r w:rsidR="00782F47">
        <w:rPr>
          <w:rStyle w:val="FootnoteReference"/>
        </w:rPr>
        <w:footnoteReference w:id="56"/>
      </w:r>
      <w:r w:rsidRPr="002146B1">
        <w:t>. The potential of new approache</w:t>
      </w:r>
      <w:r w:rsidR="00A60B3C" w:rsidRPr="002146B1">
        <w:t>s for investigating human activities</w:t>
      </w:r>
      <w:r w:rsidRPr="002146B1">
        <w:t xml:space="preserve"> has been shown by the application of non-pollen palynomorph (NPP) analysis, especially coprophilous fungal spores, for detecting pastoralism, to a new Middle Holocene sedimentary sequence from Prato Spilla ‘A’</w:t>
      </w:r>
      <w:r w:rsidR="00782F47">
        <w:rPr>
          <w:rStyle w:val="FootnoteReference"/>
        </w:rPr>
        <w:footnoteReference w:id="57"/>
      </w:r>
      <w:r w:rsidRPr="002146B1">
        <w:t xml:space="preserve"> (</w:t>
      </w:r>
      <w:r w:rsidR="00BD5806">
        <w:t>fig. 6 and fig. 7</w:t>
      </w:r>
      <w:r w:rsidRPr="002146B1">
        <w:t xml:space="preserve">). Previous pollen analysis at the site has inferred two episodes of human interference in vegetation succession during the </w:t>
      </w:r>
      <w:r w:rsidR="0011230D" w:rsidRPr="002146B1">
        <w:t xml:space="preserve">Middle and Late Neolithic. The events were </w:t>
      </w:r>
      <w:r w:rsidRPr="002146B1">
        <w:t xml:space="preserve">characterised by a decline in </w:t>
      </w:r>
      <w:r w:rsidRPr="002146B1">
        <w:rPr>
          <w:i/>
        </w:rPr>
        <w:t xml:space="preserve">Ulmus </w:t>
      </w:r>
      <w:r w:rsidR="0011230D" w:rsidRPr="002146B1">
        <w:t xml:space="preserve">and </w:t>
      </w:r>
      <w:r w:rsidR="0011230D" w:rsidRPr="002146B1">
        <w:rPr>
          <w:i/>
        </w:rPr>
        <w:t>Fraxinus</w:t>
      </w:r>
      <w:r w:rsidR="0011230D" w:rsidRPr="002146B1">
        <w:t xml:space="preserve"> woodland </w:t>
      </w:r>
      <w:r w:rsidRPr="002146B1">
        <w:t>(labelled M1</w:t>
      </w:r>
      <w:r w:rsidR="0011230D" w:rsidRPr="002146B1">
        <w:t>; ~6400 cal yrs BP</w:t>
      </w:r>
      <w:r w:rsidRPr="002146B1">
        <w:t>)</w:t>
      </w:r>
      <w:r w:rsidR="0011230D" w:rsidRPr="002146B1">
        <w:t>,</w:t>
      </w:r>
      <w:r w:rsidRPr="002146B1">
        <w:t xml:space="preserve"> and the expansion of </w:t>
      </w:r>
      <w:r w:rsidRPr="002146B1">
        <w:rPr>
          <w:i/>
        </w:rPr>
        <w:t>Fagus</w:t>
      </w:r>
      <w:r w:rsidRPr="002146B1">
        <w:t xml:space="preserve"> woodland (labelled M2</w:t>
      </w:r>
      <w:r w:rsidR="0011230D" w:rsidRPr="002146B1">
        <w:t>; ~5800 cal yrs BP</w:t>
      </w:r>
      <w:r w:rsidRPr="002146B1">
        <w:t>)</w:t>
      </w:r>
      <w:r w:rsidR="00782F47">
        <w:rPr>
          <w:rStyle w:val="FootnoteReference"/>
        </w:rPr>
        <w:footnoteReference w:id="58"/>
      </w:r>
      <w:r w:rsidRPr="002146B1">
        <w:t xml:space="preserve">. </w:t>
      </w:r>
      <w:r w:rsidR="0011230D" w:rsidRPr="002146B1">
        <w:t>The second event in particular coincided with an increase in herbaceous taxa</w:t>
      </w:r>
      <w:r w:rsidR="00BF718A">
        <w:t xml:space="preserve"> suggesting a significant</w:t>
      </w:r>
      <w:r w:rsidR="005624DB" w:rsidRPr="002146B1">
        <w:t xml:space="preserve"> change in woodland structure and composition. </w:t>
      </w:r>
      <w:r w:rsidRPr="002146B1">
        <w:t xml:space="preserve">The low values of coprophilous fungal spores across both of these events </w:t>
      </w:r>
      <w:r w:rsidR="00BF718A">
        <w:t xml:space="preserve">in the current study </w:t>
      </w:r>
      <w:r w:rsidRPr="002146B1">
        <w:t>suggests, however, that there is little or no evidence for human activity associated with pastoralism, and instead the dung spores could be ascribed to wild mountain herbivores, most likely ungulates and lagomorphs</w:t>
      </w:r>
      <w:r w:rsidR="00BF718A">
        <w:t xml:space="preserve"> (fig. 6 and fig. 7)</w:t>
      </w:r>
      <w:r w:rsidRPr="002146B1">
        <w:t>. This view seems to be supported by the distance from Prato Spilla of late prehistoric finds (25-30 km), and ongoing concerns over the existence of long-range prehistoric pastoralism at this time</w:t>
      </w:r>
      <w:r w:rsidR="00782F47">
        <w:rPr>
          <w:rStyle w:val="FootnoteReference"/>
        </w:rPr>
        <w:footnoteReference w:id="59"/>
      </w:r>
      <w:r w:rsidRPr="002146B1">
        <w:t xml:space="preserve">. The situation is made more complicated, however, by the estimated </w:t>
      </w:r>
      <w:r w:rsidR="00782F47">
        <w:t>small size of Neolithic groups</w:t>
      </w:r>
      <w:r w:rsidR="00782F47">
        <w:rPr>
          <w:rStyle w:val="FootnoteReference"/>
        </w:rPr>
        <w:footnoteReference w:id="60"/>
      </w:r>
      <w:r w:rsidRPr="002146B1">
        <w:t>, which may have resulted in low palaeoecological visibility</w:t>
      </w:r>
      <w:r w:rsidR="005624DB" w:rsidRPr="002146B1">
        <w:t>, even if they were active in the surrounding landscape</w:t>
      </w:r>
      <w:r w:rsidRPr="002146B1">
        <w:t xml:space="preserve">. </w:t>
      </w:r>
      <w:r w:rsidR="00533135" w:rsidRPr="002146B1">
        <w:t xml:space="preserve">These </w:t>
      </w:r>
      <w:r w:rsidR="00BF718A">
        <w:t xml:space="preserve">fungal spore </w:t>
      </w:r>
      <w:r w:rsidR="00533135" w:rsidRPr="002146B1">
        <w:t>data provide some support</w:t>
      </w:r>
      <w:r w:rsidR="005624DB" w:rsidRPr="002146B1">
        <w:t xml:space="preserve"> theref</w:t>
      </w:r>
      <w:r w:rsidR="00533135" w:rsidRPr="002146B1">
        <w:t>ore</w:t>
      </w:r>
      <w:r w:rsidR="005624DB" w:rsidRPr="002146B1">
        <w:t xml:space="preserve"> for the hypothesis </w:t>
      </w:r>
      <w:r w:rsidR="005624DB" w:rsidRPr="00961951">
        <w:lastRenderedPageBreak/>
        <w:t xml:space="preserve">advocated by Lowe </w:t>
      </w:r>
      <w:r w:rsidR="005624DB" w:rsidRPr="00961951">
        <w:rPr>
          <w:i/>
        </w:rPr>
        <w:t>et al.</w:t>
      </w:r>
      <w:r w:rsidR="00782F47" w:rsidRPr="00961951">
        <w:rPr>
          <w:rStyle w:val="FootnoteReference"/>
        </w:rPr>
        <w:footnoteReference w:id="61"/>
      </w:r>
      <w:r w:rsidR="005624DB" w:rsidRPr="00961951">
        <w:t xml:space="preserve"> for the M1 event: that </w:t>
      </w:r>
      <w:r w:rsidR="00533135" w:rsidRPr="00961951">
        <w:t>human groups may have been</w:t>
      </w:r>
      <w:r w:rsidR="005624DB" w:rsidRPr="00961951">
        <w:t xml:space="preserve"> impacting upon the vegetation cover some distance from Prato Spilla ‘A’.</w:t>
      </w:r>
      <w:r w:rsidR="00533135" w:rsidRPr="00961951">
        <w:t xml:space="preserve"> The interpretation of the M2 event is more contentious, with the fungal </w:t>
      </w:r>
      <w:r w:rsidR="00BF718A" w:rsidRPr="00961951">
        <w:t xml:space="preserve">spore </w:t>
      </w:r>
      <w:r w:rsidR="00533135" w:rsidRPr="00961951">
        <w:t xml:space="preserve">data suggesting no human activity at Prato Spilla ‘A’ despite the arguments presented by Lowe </w:t>
      </w:r>
      <w:r w:rsidR="00533135" w:rsidRPr="001E7838">
        <w:rPr>
          <w:i/>
        </w:rPr>
        <w:t>et al.</w:t>
      </w:r>
      <w:r w:rsidR="001E7838" w:rsidRPr="001E7838">
        <w:t xml:space="preserve"> 1994b</w:t>
      </w:r>
      <w:r w:rsidR="00782F47" w:rsidRPr="001E7838">
        <w:rPr>
          <w:rStyle w:val="FootnoteReference"/>
        </w:rPr>
        <w:footnoteReference w:id="62"/>
      </w:r>
      <w:r w:rsidR="004D3BF2" w:rsidRPr="001E7838">
        <w:t>.</w:t>
      </w:r>
      <w:r w:rsidR="004D3BF2">
        <w:t xml:space="preserve"> </w:t>
      </w:r>
      <w:r w:rsidR="006E6D53" w:rsidRPr="00961951">
        <w:t>T</w:t>
      </w:r>
      <w:r w:rsidRPr="00961951">
        <w:t>he</w:t>
      </w:r>
      <w:r w:rsidRPr="002146B1">
        <w:t xml:space="preserve"> fungal data suggest</w:t>
      </w:r>
      <w:r w:rsidR="00A60B3C" w:rsidRPr="002146B1">
        <w:t>, therefore,</w:t>
      </w:r>
      <w:r w:rsidRPr="002146B1">
        <w:t xml:space="preserve"> that greater caution must be used when interpreting human activity based upon pollen data alone, and innovative mixed method approaches are recommended</w:t>
      </w:r>
      <w:r w:rsidR="00A60B3C" w:rsidRPr="002146B1">
        <w:t xml:space="preserve"> instead</w:t>
      </w:r>
      <w:r w:rsidR="00782F47">
        <w:rPr>
          <w:rStyle w:val="FootnoteReference"/>
        </w:rPr>
        <w:footnoteReference w:id="63"/>
      </w:r>
      <w:r w:rsidRPr="002146B1">
        <w:t>.</w:t>
      </w:r>
    </w:p>
    <w:p w:rsidR="003500F3" w:rsidRPr="002146B1" w:rsidRDefault="003500F3" w:rsidP="003724E0">
      <w:pPr>
        <w:jc w:val="both"/>
      </w:pPr>
    </w:p>
    <w:p w:rsidR="003647E0" w:rsidRPr="002146B1" w:rsidRDefault="00A65E56" w:rsidP="003724E0">
      <w:pPr>
        <w:jc w:val="both"/>
      </w:pPr>
      <w:r w:rsidRPr="002146B1">
        <w:t>In addition</w:t>
      </w:r>
      <w:r w:rsidR="00A60B3C" w:rsidRPr="002146B1">
        <w:t xml:space="preserve"> to human activities</w:t>
      </w:r>
      <w:r w:rsidR="006366A2" w:rsidRPr="002146B1">
        <w:t>, a number of alternative explanations may be advanced for the chan</w:t>
      </w:r>
      <w:r w:rsidR="004E1E95" w:rsidRPr="002146B1">
        <w:t>ges in woodland cover recorded</w:t>
      </w:r>
      <w:r w:rsidR="0053700A" w:rsidRPr="002146B1">
        <w:t xml:space="preserve"> during this period</w:t>
      </w:r>
      <w:r w:rsidR="004E1E95" w:rsidRPr="002146B1">
        <w:t xml:space="preserve"> </w:t>
      </w:r>
      <w:r w:rsidR="006366A2" w:rsidRPr="002146B1">
        <w:t>including diseas</w:t>
      </w:r>
      <w:r w:rsidR="004E1E95" w:rsidRPr="002146B1">
        <w:t xml:space="preserve">e, </w:t>
      </w:r>
      <w:r w:rsidR="0053700A" w:rsidRPr="002146B1">
        <w:t xml:space="preserve">natural </w:t>
      </w:r>
      <w:r w:rsidR="006366A2" w:rsidRPr="002146B1">
        <w:t>burning</w:t>
      </w:r>
      <w:r w:rsidR="004E1E95" w:rsidRPr="002146B1">
        <w:t xml:space="preserve"> and climate change</w:t>
      </w:r>
      <w:r w:rsidR="006366A2" w:rsidRPr="002146B1">
        <w:t>,</w:t>
      </w:r>
      <w:r w:rsidR="004E1E95" w:rsidRPr="002146B1">
        <w:t xml:space="preserve"> which </w:t>
      </w:r>
      <w:r w:rsidR="0053700A" w:rsidRPr="002146B1">
        <w:t xml:space="preserve">may </w:t>
      </w:r>
      <w:r w:rsidR="004E1E95" w:rsidRPr="002146B1">
        <w:t xml:space="preserve">have accelerated the spread of </w:t>
      </w:r>
      <w:r w:rsidR="004E1E95" w:rsidRPr="002146B1">
        <w:rPr>
          <w:i/>
        </w:rPr>
        <w:t>Fagus</w:t>
      </w:r>
      <w:r w:rsidR="004E1E95" w:rsidRPr="002146B1">
        <w:t xml:space="preserve"> woodland</w:t>
      </w:r>
      <w:r w:rsidR="00A60B3C" w:rsidRPr="002146B1">
        <w:t xml:space="preserve"> in particular</w:t>
      </w:r>
      <w:r w:rsidR="00782F47">
        <w:rPr>
          <w:rStyle w:val="FootnoteReference"/>
        </w:rPr>
        <w:footnoteReference w:id="64"/>
      </w:r>
      <w:r w:rsidR="00782F47">
        <w:t>.</w:t>
      </w:r>
      <w:r w:rsidR="003500F3" w:rsidRPr="002146B1">
        <w:t xml:space="preserve"> </w:t>
      </w:r>
      <w:r w:rsidR="007107FD" w:rsidRPr="002146B1">
        <w:t>During the latter half of the Holocene Thermal Maximum (~11,000-5000 cal yrs BP), the western Mediterranean experienced declining winter precipitation and temperatures, and increasingly colder, wetter summers</w:t>
      </w:r>
      <w:r w:rsidR="00782F47">
        <w:rPr>
          <w:rStyle w:val="FootnoteReference"/>
        </w:rPr>
        <w:footnoteReference w:id="65"/>
      </w:r>
      <w:r w:rsidR="007107FD" w:rsidRPr="002146B1">
        <w:t>. These changes</w:t>
      </w:r>
      <w:r w:rsidR="003647E0" w:rsidRPr="002146B1">
        <w:t xml:space="preserve"> may explain</w:t>
      </w:r>
      <w:r w:rsidR="00037972" w:rsidRPr="002146B1">
        <w:t xml:space="preserve"> the progressive decline in </w:t>
      </w:r>
      <w:r w:rsidR="00037972" w:rsidRPr="002146B1">
        <w:rPr>
          <w:i/>
        </w:rPr>
        <w:t>Abies</w:t>
      </w:r>
      <w:r w:rsidR="00037972" w:rsidRPr="002146B1">
        <w:t xml:space="preserve"> populations across a wide altitudinal range</w:t>
      </w:r>
      <w:r w:rsidR="007107FD" w:rsidRPr="002146B1">
        <w:t xml:space="preserve"> </w:t>
      </w:r>
      <w:r w:rsidR="00037972" w:rsidRPr="002146B1">
        <w:t>due to changes in the length of the growing season</w:t>
      </w:r>
      <w:r w:rsidR="003647E0" w:rsidRPr="002146B1">
        <w:t xml:space="preserve">, and </w:t>
      </w:r>
      <w:r w:rsidR="00037972" w:rsidRPr="002146B1">
        <w:t xml:space="preserve">may have facilitated the spread of </w:t>
      </w:r>
      <w:r w:rsidR="00037972" w:rsidRPr="002146B1">
        <w:rPr>
          <w:i/>
        </w:rPr>
        <w:t>Fagus</w:t>
      </w:r>
      <w:r w:rsidR="00037972" w:rsidRPr="002146B1">
        <w:t xml:space="preserve"> </w:t>
      </w:r>
      <w:r w:rsidR="007107FD" w:rsidRPr="002146B1">
        <w:t>due t</w:t>
      </w:r>
      <w:r w:rsidR="00037972" w:rsidRPr="002146B1">
        <w:t>o higher summer precipitation</w:t>
      </w:r>
      <w:r w:rsidR="003647E0" w:rsidRPr="002146B1">
        <w:t>.</w:t>
      </w:r>
      <w:r w:rsidR="00C870CF" w:rsidRPr="002146B1">
        <w:t xml:space="preserve"> This</w:t>
      </w:r>
      <w:r w:rsidR="00CD65C9" w:rsidRPr="002146B1">
        <w:t xml:space="preserve"> evidence for a change in climate in the western Mediterranean, especially after ~6000 cal yrs BP, is consistent with other </w:t>
      </w:r>
      <w:r w:rsidR="003647E0" w:rsidRPr="002146B1">
        <w:t>Northern Hemispheric proxy records</w:t>
      </w:r>
      <w:r w:rsidR="00782F47">
        <w:rPr>
          <w:rStyle w:val="FootnoteReference"/>
        </w:rPr>
        <w:footnoteReference w:id="66"/>
      </w:r>
      <w:r w:rsidR="003647E0" w:rsidRPr="002146B1">
        <w:t>.</w:t>
      </w:r>
      <w:r w:rsidRPr="002146B1">
        <w:t xml:space="preserve"> Therefore, despite the archaeological evidence for increasing human presence in mountainous areas from the Middle to Late Neolithic onwards, caution must be taken when interpreting palaeoecological data, especially when expressing the magnitude of human impact on the environment</w:t>
      </w:r>
      <w:r w:rsidR="00C870CF" w:rsidRPr="002146B1">
        <w:t>, due to the unequivocal evidence for climate change</w:t>
      </w:r>
      <w:r w:rsidRPr="002146B1">
        <w:t xml:space="preserve">. </w:t>
      </w:r>
    </w:p>
    <w:p w:rsidR="00B74955" w:rsidRPr="004E7FA1" w:rsidRDefault="00B74955" w:rsidP="003724E0">
      <w:pPr>
        <w:jc w:val="both"/>
      </w:pPr>
    </w:p>
    <w:p w:rsidR="00103694" w:rsidRPr="002A7A96" w:rsidRDefault="00103694" w:rsidP="003724E0">
      <w:pPr>
        <w:jc w:val="both"/>
      </w:pPr>
      <w:r w:rsidRPr="004E7FA1">
        <w:rPr>
          <w:b/>
        </w:rPr>
        <w:t>Conclusions</w:t>
      </w:r>
    </w:p>
    <w:p w:rsidR="000D75E7" w:rsidRPr="002146B1" w:rsidRDefault="00CA62E1" w:rsidP="003724E0">
      <w:pPr>
        <w:jc w:val="both"/>
      </w:pPr>
      <w:r w:rsidRPr="002146B1">
        <w:t>The enhanced radiocarbon dated palaeoecological record from Rovegno</w:t>
      </w:r>
      <w:r w:rsidR="00363328" w:rsidRPr="002146B1">
        <w:t xml:space="preserve"> has provided a new and important contribution to our understanding of vegetation succession and climate change in the northern Apennines. The </w:t>
      </w:r>
      <w:r w:rsidR="009054DD" w:rsidRPr="002146B1">
        <w:t>radiocarbon chronology indicates that sediment initiation commenced prior to 17,056-16,621 cal yrs BP; Rovegno therefore represents the oldest published pollen stratigraphic record in the region</w:t>
      </w:r>
      <w:r w:rsidR="002A0BD5" w:rsidRPr="002146B1">
        <w:t xml:space="preserve"> (Branch 2004)</w:t>
      </w:r>
      <w:r w:rsidR="009054DD" w:rsidRPr="002146B1">
        <w:t xml:space="preserve">. </w:t>
      </w:r>
      <w:r w:rsidR="0064539E" w:rsidRPr="002146B1">
        <w:t>The presence of distinctive vegetation changes during the late Würm glacial period and the Late Würm Lateglacial Interstadial indicate pronounced climatic changes during this period. The evidence for the Late Würm Lateglacial Stadial (‘Younger Dryas’) remains uncertain.</w:t>
      </w:r>
      <w:r w:rsidR="00ED23F3" w:rsidRPr="002146B1">
        <w:t xml:space="preserve"> Nevertheless, the pollen record indicates interesting differences in vegetation history compared to other Lateglacial sequences from the northern Apennines, which may be attributed to elevation and distance from glacial refugia. During the Early and Middle Holocene, the main phases of vegetation succession at Rovegno are consistent with other sites in the northern Apennines, and indicate that </w:t>
      </w:r>
      <w:r w:rsidR="00ED23F3" w:rsidRPr="002146B1">
        <w:rPr>
          <w:i/>
        </w:rPr>
        <w:t>Quercus</w:t>
      </w:r>
      <w:r w:rsidR="00ED23F3" w:rsidRPr="002146B1">
        <w:t xml:space="preserve"> and </w:t>
      </w:r>
      <w:r w:rsidR="00ED23F3" w:rsidRPr="002146B1">
        <w:rPr>
          <w:i/>
        </w:rPr>
        <w:t>Abies</w:t>
      </w:r>
      <w:r w:rsidR="00ED23F3" w:rsidRPr="002146B1">
        <w:t xml:space="preserve"> were the dominant woodland cover at this elevation. The colonisation of </w:t>
      </w:r>
      <w:r w:rsidR="00ED23F3" w:rsidRPr="002146B1">
        <w:rPr>
          <w:i/>
        </w:rPr>
        <w:t>Fagus</w:t>
      </w:r>
      <w:r w:rsidR="00ED23F3" w:rsidRPr="002146B1">
        <w:t xml:space="preserve">, and the progressive decline of </w:t>
      </w:r>
      <w:r w:rsidR="00ED23F3" w:rsidRPr="002146B1">
        <w:rPr>
          <w:i/>
        </w:rPr>
        <w:t>Abies</w:t>
      </w:r>
      <w:r w:rsidR="00ED23F3" w:rsidRPr="002146B1">
        <w:t xml:space="preserve">, </w:t>
      </w:r>
      <w:r w:rsidR="00F4530C" w:rsidRPr="002146B1">
        <w:t xml:space="preserve">may be attributed to several possible causes including </w:t>
      </w:r>
      <w:r w:rsidR="00ED23F3" w:rsidRPr="002146B1">
        <w:t>human activity or climate change,</w:t>
      </w:r>
      <w:r w:rsidR="00F4530C" w:rsidRPr="002146B1">
        <w:t xml:space="preserve"> or both. I</w:t>
      </w:r>
      <w:r w:rsidR="00ED23F3" w:rsidRPr="002146B1">
        <w:t>t is apparent</w:t>
      </w:r>
      <w:r w:rsidR="00F4530C" w:rsidRPr="002146B1">
        <w:t>, therefore,</w:t>
      </w:r>
      <w:r w:rsidR="00ED23F3" w:rsidRPr="002146B1">
        <w:t xml:space="preserve"> that </w:t>
      </w:r>
      <w:r w:rsidR="005B187E" w:rsidRPr="002146B1">
        <w:t>alternative method</w:t>
      </w:r>
      <w:r w:rsidR="002A0BD5" w:rsidRPr="002146B1">
        <w:t xml:space="preserve">s must be </w:t>
      </w:r>
      <w:r w:rsidR="00E23FDF" w:rsidRPr="002146B1">
        <w:t xml:space="preserve">routinely </w:t>
      </w:r>
      <w:r w:rsidR="002A0BD5" w:rsidRPr="002146B1">
        <w:t xml:space="preserve">employed to avoid </w:t>
      </w:r>
      <w:r w:rsidR="005B187E" w:rsidRPr="002146B1">
        <w:t>circular arguments inherent in the use of pollen data alone. The application of coprophilous fungi at Prato Spilla ‘A’ has shown the value of this me</w:t>
      </w:r>
      <w:r w:rsidR="00916AFC" w:rsidRPr="002146B1">
        <w:t>thod when attempting to differentiate</w:t>
      </w:r>
      <w:r w:rsidR="005B187E" w:rsidRPr="002146B1">
        <w:t xml:space="preserve"> </w:t>
      </w:r>
      <w:r w:rsidR="00916AFC" w:rsidRPr="002146B1">
        <w:t xml:space="preserve">between local and regional pollen-stratigraphical </w:t>
      </w:r>
      <w:r w:rsidR="005B187E" w:rsidRPr="002146B1">
        <w:t>signatures of human activity</w:t>
      </w:r>
      <w:r w:rsidR="00916AFC" w:rsidRPr="002146B1">
        <w:t xml:space="preserve">, and </w:t>
      </w:r>
      <w:r w:rsidR="00F4530C" w:rsidRPr="002146B1">
        <w:t xml:space="preserve">for </w:t>
      </w:r>
      <w:r w:rsidR="00916AFC" w:rsidRPr="002146B1">
        <w:t>identify</w:t>
      </w:r>
      <w:r w:rsidR="00F4530C" w:rsidRPr="002146B1">
        <w:t>ing</w:t>
      </w:r>
      <w:r w:rsidR="00916AFC" w:rsidRPr="002146B1">
        <w:t xml:space="preserve"> the possible role of wild and domesticated herbivores in vegetation change</w:t>
      </w:r>
      <w:r w:rsidR="005B187E" w:rsidRPr="002146B1">
        <w:t>.</w:t>
      </w:r>
    </w:p>
    <w:p w:rsidR="00266806" w:rsidRPr="00403791" w:rsidRDefault="00762656" w:rsidP="003724E0">
      <w:pPr>
        <w:contextualSpacing/>
        <w:jc w:val="both"/>
        <w:rPr>
          <w:b/>
        </w:rPr>
      </w:pPr>
      <w:bookmarkStart w:id="0" w:name="_GoBack"/>
      <w:bookmarkEnd w:id="0"/>
      <w:r w:rsidRPr="00403791">
        <w:rPr>
          <w:b/>
        </w:rPr>
        <w:lastRenderedPageBreak/>
        <w:t>References</w:t>
      </w:r>
    </w:p>
    <w:p w:rsidR="00494115" w:rsidRPr="00403791" w:rsidRDefault="0089651C" w:rsidP="003724E0">
      <w:pPr>
        <w:jc w:val="both"/>
        <w:rPr>
          <w:lang w:val="it-IT"/>
        </w:rPr>
      </w:pPr>
      <w:r>
        <w:rPr>
          <w:lang w:val="it-IT"/>
        </w:rPr>
        <w:t>Abbate E., Bettelli G., Boccaletti M., Bonazzi U., Bortolotti V., Braga G., Cantalamessa G., Casnedi R., Centamore E., Coli M., Dallan Nardi</w:t>
      </w:r>
      <w:r w:rsidR="00494115" w:rsidRPr="00403791">
        <w:rPr>
          <w:lang w:val="it-IT"/>
        </w:rPr>
        <w:t xml:space="preserve"> L., Decandia</w:t>
      </w:r>
      <w:r>
        <w:rPr>
          <w:lang w:val="it-IT"/>
        </w:rPr>
        <w:t xml:space="preserve"> F.A., Deiana G., Elter G., Fazzini P., Forcella F., Gasperi G., Gelati R., Gelmini R., Giannini E., Lazzarotto A., Marchetti G., Monteforti B., Nardi R., Pialli G.P., Pieruccini U., Plesi G., Puccinelli A., Raggi G., Romano</w:t>
      </w:r>
      <w:r w:rsidR="00494115" w:rsidRPr="00403791">
        <w:rPr>
          <w:lang w:val="it-IT"/>
        </w:rPr>
        <w:t xml:space="preserve"> A., Sandrell</w:t>
      </w:r>
      <w:r>
        <w:rPr>
          <w:lang w:val="it-IT"/>
        </w:rPr>
        <w:t>i F., Verani M., Zanzucchi</w:t>
      </w:r>
      <w:r w:rsidR="00494115" w:rsidRPr="00403791">
        <w:rPr>
          <w:lang w:val="it-IT"/>
        </w:rPr>
        <w:t xml:space="preserve"> G., </w:t>
      </w:r>
      <w:r>
        <w:rPr>
          <w:lang w:val="it-IT"/>
        </w:rPr>
        <w:t>(1982),</w:t>
      </w:r>
      <w:r w:rsidR="00494115" w:rsidRPr="00403791">
        <w:rPr>
          <w:lang w:val="it-IT"/>
        </w:rPr>
        <w:t xml:space="preserve"> </w:t>
      </w:r>
      <w:r w:rsidR="00494115" w:rsidRPr="0089651C">
        <w:rPr>
          <w:i/>
          <w:lang w:val="it-IT"/>
        </w:rPr>
        <w:t>Carta Strutturale dell’Appennino Se</w:t>
      </w:r>
      <w:r w:rsidR="00DE5568">
        <w:rPr>
          <w:i/>
          <w:lang w:val="it-IT"/>
        </w:rPr>
        <w:t>ttentrionale 4, Scala 1:250,000,</w:t>
      </w:r>
      <w:r w:rsidR="00494115" w:rsidRPr="0089651C">
        <w:rPr>
          <w:i/>
          <w:lang w:val="it-IT"/>
        </w:rPr>
        <w:t xml:space="preserve"> </w:t>
      </w:r>
      <w:r>
        <w:rPr>
          <w:lang w:val="it-IT"/>
        </w:rPr>
        <w:t xml:space="preserve">Firenze: </w:t>
      </w:r>
      <w:r w:rsidR="00494115" w:rsidRPr="00403791">
        <w:rPr>
          <w:lang w:val="it-IT"/>
        </w:rPr>
        <w:t>Consiglio N</w:t>
      </w:r>
      <w:r>
        <w:rPr>
          <w:lang w:val="it-IT"/>
        </w:rPr>
        <w:t>azionale Delle Ricerche</w:t>
      </w:r>
      <w:r w:rsidR="00494115" w:rsidRPr="00403791">
        <w:rPr>
          <w:lang w:val="it-IT"/>
        </w:rPr>
        <w:t>.</w:t>
      </w:r>
    </w:p>
    <w:p w:rsidR="00B14557" w:rsidRPr="00403791" w:rsidRDefault="00B14557" w:rsidP="003724E0">
      <w:pPr>
        <w:jc w:val="both"/>
        <w:rPr>
          <w:lang w:val="it-IT"/>
        </w:rPr>
      </w:pPr>
    </w:p>
    <w:p w:rsidR="00B14557" w:rsidRPr="00403791" w:rsidRDefault="00591595" w:rsidP="003724E0">
      <w:pPr>
        <w:jc w:val="both"/>
        <w:rPr>
          <w:lang w:val="it-IT"/>
        </w:rPr>
      </w:pPr>
      <w:r>
        <w:t>Allen J.R.M., Watts W.A., McGee E., Huntley B., (2002),</w:t>
      </w:r>
      <w:r w:rsidR="00B14557" w:rsidRPr="00403791">
        <w:t xml:space="preserve"> </w:t>
      </w:r>
      <w:r w:rsidR="00B14557" w:rsidRPr="00591595">
        <w:rPr>
          <w:i/>
          <w:lang w:val="it-IT"/>
        </w:rPr>
        <w:t>Holocene environmental variability-the record from Lago Grande di Monticchio, Italy</w:t>
      </w:r>
      <w:r>
        <w:rPr>
          <w:lang w:val="it-IT"/>
        </w:rPr>
        <w:t>, &lt;&lt;</w:t>
      </w:r>
      <w:r w:rsidR="00B14557" w:rsidRPr="00403791">
        <w:rPr>
          <w:lang w:val="it-IT"/>
        </w:rPr>
        <w:t>Quaternary International</w:t>
      </w:r>
      <w:r>
        <w:rPr>
          <w:lang w:val="it-IT"/>
        </w:rPr>
        <w:t>&gt;&gt;,</w:t>
      </w:r>
      <w:r w:rsidR="00B14557" w:rsidRPr="00403791">
        <w:rPr>
          <w:lang w:val="it-IT"/>
        </w:rPr>
        <w:t xml:space="preserve"> 88, </w:t>
      </w:r>
      <w:r>
        <w:rPr>
          <w:lang w:val="it-IT"/>
        </w:rPr>
        <w:t xml:space="preserve">pp. </w:t>
      </w:r>
      <w:r w:rsidR="00B14557" w:rsidRPr="00403791">
        <w:rPr>
          <w:lang w:val="it-IT"/>
        </w:rPr>
        <w:t>69–80</w:t>
      </w:r>
      <w:r>
        <w:rPr>
          <w:lang w:val="it-IT"/>
        </w:rPr>
        <w:t>.</w:t>
      </w:r>
    </w:p>
    <w:p w:rsidR="00E63082" w:rsidRDefault="00E63082" w:rsidP="003724E0">
      <w:pPr>
        <w:spacing w:after="240"/>
        <w:contextualSpacing/>
        <w:jc w:val="both"/>
        <w:rPr>
          <w:rFonts w:ascii="Book Antiqua" w:hAnsi="Book Antiqua"/>
        </w:rPr>
      </w:pPr>
    </w:p>
    <w:p w:rsidR="00A75E0B" w:rsidRPr="00AD12D9" w:rsidRDefault="00A75E0B" w:rsidP="003724E0">
      <w:pPr>
        <w:spacing w:after="240"/>
        <w:contextualSpacing/>
        <w:jc w:val="both"/>
      </w:pPr>
      <w:r w:rsidRPr="00AD12D9">
        <w:t>Baffico</w:t>
      </w:r>
      <w:r w:rsidR="00AD12D9" w:rsidRPr="00AD12D9">
        <w:t xml:space="preserve"> O., Cruise, G.M., </w:t>
      </w:r>
      <w:proofErr w:type="spellStart"/>
      <w:r w:rsidR="00AD12D9" w:rsidRPr="00AD12D9">
        <w:t>Macphail</w:t>
      </w:r>
      <w:proofErr w:type="spellEnd"/>
      <w:r w:rsidR="00AD12D9" w:rsidRPr="00AD12D9">
        <w:t xml:space="preserve"> R.I., Maggi R., Nisbet R., (1987), </w:t>
      </w:r>
      <w:r w:rsidR="00AD12D9" w:rsidRPr="00AD12D9">
        <w:rPr>
          <w:i/>
        </w:rPr>
        <w:t xml:space="preserve">Monte </w:t>
      </w:r>
      <w:proofErr w:type="spellStart"/>
      <w:r w:rsidR="00AD12D9" w:rsidRPr="00AD12D9">
        <w:rPr>
          <w:i/>
        </w:rPr>
        <w:t>Aiona</w:t>
      </w:r>
      <w:proofErr w:type="spellEnd"/>
      <w:r w:rsidR="00AD12D9" w:rsidRPr="00AD12D9">
        <w:rPr>
          <w:i/>
        </w:rPr>
        <w:t xml:space="preserve"> – Prato </w:t>
      </w:r>
      <w:proofErr w:type="spellStart"/>
      <w:r w:rsidR="00AD12D9" w:rsidRPr="00AD12D9">
        <w:rPr>
          <w:i/>
        </w:rPr>
        <w:t>Mollo</w:t>
      </w:r>
      <w:proofErr w:type="spellEnd"/>
      <w:r w:rsidR="00AD12D9" w:rsidRPr="00AD12D9">
        <w:t xml:space="preserve">, in </w:t>
      </w:r>
      <w:proofErr w:type="spellStart"/>
      <w:r w:rsidR="00AD12D9" w:rsidRPr="00AD12D9">
        <w:rPr>
          <w:i/>
        </w:rPr>
        <w:t>Archeologia</w:t>
      </w:r>
      <w:proofErr w:type="spellEnd"/>
      <w:r w:rsidR="00AD12D9" w:rsidRPr="00AD12D9">
        <w:rPr>
          <w:i/>
        </w:rPr>
        <w:t xml:space="preserve"> in Liguria III.1, </w:t>
      </w:r>
      <w:proofErr w:type="spellStart"/>
      <w:r w:rsidR="00AD12D9" w:rsidRPr="00AD12D9">
        <w:rPr>
          <w:i/>
        </w:rPr>
        <w:t>Scavi</w:t>
      </w:r>
      <w:proofErr w:type="spellEnd"/>
      <w:r w:rsidR="00AD12D9" w:rsidRPr="00AD12D9">
        <w:rPr>
          <w:i/>
        </w:rPr>
        <w:t xml:space="preserve"> e </w:t>
      </w:r>
      <w:proofErr w:type="spellStart"/>
      <w:r w:rsidR="00AD12D9" w:rsidRPr="00AD12D9">
        <w:rPr>
          <w:i/>
        </w:rPr>
        <w:t>scoperte</w:t>
      </w:r>
      <w:proofErr w:type="spellEnd"/>
      <w:r w:rsidR="00AD12D9" w:rsidRPr="00AD12D9">
        <w:rPr>
          <w:i/>
        </w:rPr>
        <w:t xml:space="preserve"> 1982-86, </w:t>
      </w:r>
      <w:proofErr w:type="spellStart"/>
      <w:r w:rsidR="00AD12D9" w:rsidRPr="00AD12D9">
        <w:rPr>
          <w:i/>
        </w:rPr>
        <w:t>Preistoria</w:t>
      </w:r>
      <w:proofErr w:type="spellEnd"/>
      <w:r w:rsidR="00AD12D9" w:rsidRPr="00AD12D9">
        <w:rPr>
          <w:i/>
        </w:rPr>
        <w:t xml:space="preserve"> e </w:t>
      </w:r>
      <w:proofErr w:type="spellStart"/>
      <w:r w:rsidR="00AD12D9" w:rsidRPr="00AD12D9">
        <w:rPr>
          <w:i/>
        </w:rPr>
        <w:t>Protostoria</w:t>
      </w:r>
      <w:proofErr w:type="spellEnd"/>
      <w:r w:rsidR="00AD12D9" w:rsidRPr="00AD12D9">
        <w:t xml:space="preserve">, edited by P. </w:t>
      </w:r>
      <w:proofErr w:type="spellStart"/>
      <w:r w:rsidR="00AD12D9" w:rsidRPr="00AD12D9">
        <w:t>Melli</w:t>
      </w:r>
      <w:proofErr w:type="spellEnd"/>
      <w:r w:rsidR="00AD12D9" w:rsidRPr="00AD12D9">
        <w:t xml:space="preserve">, A. Del </w:t>
      </w:r>
      <w:proofErr w:type="spellStart"/>
      <w:r w:rsidR="00AD12D9" w:rsidRPr="00AD12D9">
        <w:t>Lucchese</w:t>
      </w:r>
      <w:proofErr w:type="spellEnd"/>
      <w:r w:rsidR="00AD12D9" w:rsidRPr="00AD12D9">
        <w:t xml:space="preserve">, </w:t>
      </w:r>
      <w:proofErr w:type="spellStart"/>
      <w:r w:rsidR="00AD12D9" w:rsidRPr="00AD12D9">
        <w:t>Genova</w:t>
      </w:r>
      <w:proofErr w:type="spellEnd"/>
      <w:r w:rsidR="00AD12D9" w:rsidRPr="00AD12D9">
        <w:t xml:space="preserve">: </w:t>
      </w:r>
      <w:proofErr w:type="spellStart"/>
      <w:r w:rsidR="00AD12D9" w:rsidRPr="00AD12D9">
        <w:t>Soprintendenza</w:t>
      </w:r>
      <w:proofErr w:type="spellEnd"/>
      <w:r w:rsidR="00AD12D9" w:rsidRPr="00AD12D9">
        <w:t xml:space="preserve"> </w:t>
      </w:r>
      <w:proofErr w:type="spellStart"/>
      <w:r w:rsidR="00AD12D9" w:rsidRPr="00AD12D9">
        <w:t>Archeologica</w:t>
      </w:r>
      <w:proofErr w:type="spellEnd"/>
      <w:r w:rsidR="00AD12D9" w:rsidRPr="00AD12D9">
        <w:t xml:space="preserve"> </w:t>
      </w:r>
      <w:proofErr w:type="spellStart"/>
      <w:r w:rsidR="00AD12D9" w:rsidRPr="00AD12D9">
        <w:t>della</w:t>
      </w:r>
      <w:proofErr w:type="spellEnd"/>
      <w:r w:rsidR="00AD12D9" w:rsidRPr="00AD12D9">
        <w:t xml:space="preserve"> Liguria, pp. 57-66.</w:t>
      </w:r>
    </w:p>
    <w:p w:rsidR="00A75E0B" w:rsidRDefault="00A75E0B" w:rsidP="003724E0">
      <w:pPr>
        <w:spacing w:after="240"/>
        <w:contextualSpacing/>
        <w:jc w:val="both"/>
      </w:pPr>
    </w:p>
    <w:p w:rsidR="00E63082" w:rsidRPr="00E63082" w:rsidRDefault="00A20D04" w:rsidP="003724E0">
      <w:pPr>
        <w:spacing w:after="240"/>
        <w:contextualSpacing/>
        <w:jc w:val="both"/>
      </w:pPr>
      <w:r>
        <w:t>Bedford</w:t>
      </w:r>
      <w:r w:rsidR="00E63082" w:rsidRPr="00E63082">
        <w:t xml:space="preserve"> K., </w:t>
      </w:r>
      <w:r>
        <w:t>(2013),</w:t>
      </w:r>
      <w:r w:rsidR="00E63082" w:rsidRPr="00E63082">
        <w:t xml:space="preserve"> </w:t>
      </w:r>
      <w:r w:rsidR="00E63082" w:rsidRPr="00A20D04">
        <w:rPr>
          <w:i/>
        </w:rPr>
        <w:t>Holocene environmental history of the Tuscan-Emilian Apennines:</w:t>
      </w:r>
      <w:r>
        <w:rPr>
          <w:i/>
        </w:rPr>
        <w:t xml:space="preserve"> a case study from Prato Spilla,</w:t>
      </w:r>
      <w:r w:rsidR="00E63082" w:rsidRPr="00E63082">
        <w:t xml:space="preserve"> </w:t>
      </w:r>
      <w:r>
        <w:t xml:space="preserve">Reading: </w:t>
      </w:r>
      <w:r w:rsidR="00E63082" w:rsidRPr="00E63082">
        <w:t>Undergraduate Dissertation, Department of Geography and Environmental Science, University of Reading.</w:t>
      </w:r>
    </w:p>
    <w:p w:rsidR="00494115" w:rsidRPr="00403791" w:rsidRDefault="00494115" w:rsidP="003724E0">
      <w:pPr>
        <w:jc w:val="both"/>
      </w:pPr>
    </w:p>
    <w:p w:rsidR="00094F83" w:rsidRPr="00403791" w:rsidRDefault="00AA060A" w:rsidP="003724E0">
      <w:pPr>
        <w:jc w:val="both"/>
      </w:pPr>
      <w:r>
        <w:t xml:space="preserve">Bellini C., </w:t>
      </w:r>
      <w:proofErr w:type="spellStart"/>
      <w:r>
        <w:t>Mariotti</w:t>
      </w:r>
      <w:proofErr w:type="spellEnd"/>
      <w:r>
        <w:t>-Lippi M., Montanari</w:t>
      </w:r>
      <w:r w:rsidR="00094F83" w:rsidRPr="00403791">
        <w:t xml:space="preserve"> C., </w:t>
      </w:r>
      <w:r>
        <w:t>(2009),</w:t>
      </w:r>
      <w:r w:rsidR="00094F83" w:rsidRPr="00403791">
        <w:t xml:space="preserve"> </w:t>
      </w:r>
      <w:r w:rsidR="00094F83" w:rsidRPr="00AA060A">
        <w:rPr>
          <w:i/>
        </w:rPr>
        <w:t>The Holocene landscape h</w:t>
      </w:r>
      <w:r w:rsidRPr="00AA060A">
        <w:rPr>
          <w:i/>
        </w:rPr>
        <w:t>istory of the NW Italian coasts</w:t>
      </w:r>
      <w:r>
        <w:t>,</w:t>
      </w:r>
      <w:r w:rsidR="00094F83" w:rsidRPr="00403791">
        <w:t xml:space="preserve"> </w:t>
      </w:r>
      <w:r>
        <w:t>&lt;&lt;</w:t>
      </w:r>
      <w:r w:rsidR="00094F83" w:rsidRPr="00403791">
        <w:t>The Holocene</w:t>
      </w:r>
      <w:r>
        <w:t>&gt;&gt;,</w:t>
      </w:r>
      <w:r w:rsidR="00094F83" w:rsidRPr="00403791">
        <w:t xml:space="preserve"> 19, </w:t>
      </w:r>
      <w:r>
        <w:t xml:space="preserve">pp. </w:t>
      </w:r>
      <w:r w:rsidR="00094F83" w:rsidRPr="00403791">
        <w:t>1161-1172.</w:t>
      </w:r>
    </w:p>
    <w:p w:rsidR="00B14557" w:rsidRPr="00403791" w:rsidRDefault="00B14557" w:rsidP="003724E0">
      <w:pPr>
        <w:jc w:val="both"/>
      </w:pPr>
    </w:p>
    <w:p w:rsidR="005456E8" w:rsidRPr="00403791" w:rsidRDefault="005456E8" w:rsidP="003724E0">
      <w:pPr>
        <w:jc w:val="both"/>
      </w:pPr>
      <w:r w:rsidRPr="00403791">
        <w:t>Birks H</w:t>
      </w:r>
      <w:r w:rsidR="00AA060A">
        <w:t>.</w:t>
      </w:r>
      <w:r w:rsidRPr="00403791">
        <w:t>J</w:t>
      </w:r>
      <w:r w:rsidR="00AA060A">
        <w:t>.</w:t>
      </w:r>
      <w:r w:rsidRPr="00403791">
        <w:t>B</w:t>
      </w:r>
      <w:r w:rsidR="00AA060A">
        <w:t>.</w:t>
      </w:r>
      <w:r w:rsidRPr="00403791">
        <w:t>, Gordon A</w:t>
      </w:r>
      <w:r w:rsidR="00AA060A">
        <w:t>.</w:t>
      </w:r>
      <w:r w:rsidRPr="00403791">
        <w:t>D</w:t>
      </w:r>
      <w:r w:rsidR="00AA060A">
        <w:t>.,</w:t>
      </w:r>
      <w:r w:rsidRPr="00403791">
        <w:t xml:space="preserve"> (1985)</w:t>
      </w:r>
      <w:r w:rsidR="00AA060A">
        <w:t>,</w:t>
      </w:r>
      <w:r w:rsidRPr="00403791">
        <w:t xml:space="preserve"> </w:t>
      </w:r>
      <w:r w:rsidRPr="00AA060A">
        <w:rPr>
          <w:i/>
        </w:rPr>
        <w:t>Numerical Methods in Quaternary Pollen An</w:t>
      </w:r>
      <w:r w:rsidR="00AA060A" w:rsidRPr="00AA060A">
        <w:rPr>
          <w:i/>
        </w:rPr>
        <w:t>alysis</w:t>
      </w:r>
      <w:r w:rsidR="00AA060A">
        <w:t>,</w:t>
      </w:r>
      <w:r w:rsidRPr="00403791">
        <w:t xml:space="preserve"> </w:t>
      </w:r>
      <w:r w:rsidR="00AA060A">
        <w:t>London: Academic Press.</w:t>
      </w:r>
    </w:p>
    <w:p w:rsidR="00CD65C9" w:rsidRPr="00403791" w:rsidRDefault="00CD65C9" w:rsidP="003724E0">
      <w:pPr>
        <w:jc w:val="both"/>
      </w:pPr>
    </w:p>
    <w:p w:rsidR="00CD65C9" w:rsidRPr="00403791" w:rsidRDefault="00CD65C9" w:rsidP="003724E0">
      <w:pPr>
        <w:jc w:val="both"/>
      </w:pPr>
      <w:r w:rsidRPr="00403791">
        <w:t>Bond G</w:t>
      </w:r>
      <w:r w:rsidR="00AA060A">
        <w:t>.</w:t>
      </w:r>
      <w:r w:rsidRPr="00403791">
        <w:t>, Showers W</w:t>
      </w:r>
      <w:r w:rsidR="00AA060A">
        <w:t>.</w:t>
      </w:r>
      <w:r w:rsidRPr="00403791">
        <w:t xml:space="preserve">, </w:t>
      </w:r>
      <w:proofErr w:type="spellStart"/>
      <w:r w:rsidRPr="00403791">
        <w:t>Cheseby</w:t>
      </w:r>
      <w:proofErr w:type="spellEnd"/>
      <w:r w:rsidRPr="00403791">
        <w:t xml:space="preserve"> M</w:t>
      </w:r>
      <w:r w:rsidR="00AA060A">
        <w:t>.</w:t>
      </w:r>
      <w:r w:rsidRPr="00403791">
        <w:t xml:space="preserve">, </w:t>
      </w:r>
      <w:proofErr w:type="spellStart"/>
      <w:r w:rsidRPr="00403791">
        <w:t>Lotti</w:t>
      </w:r>
      <w:proofErr w:type="spellEnd"/>
      <w:r w:rsidRPr="00403791">
        <w:t xml:space="preserve"> R</w:t>
      </w:r>
      <w:r w:rsidR="00AA060A">
        <w:t>.</w:t>
      </w:r>
      <w:r w:rsidRPr="00403791">
        <w:t xml:space="preserve">, </w:t>
      </w:r>
      <w:proofErr w:type="spellStart"/>
      <w:r w:rsidRPr="00403791">
        <w:t>Almasi</w:t>
      </w:r>
      <w:proofErr w:type="spellEnd"/>
      <w:r w:rsidRPr="00403791">
        <w:t xml:space="preserve"> P</w:t>
      </w:r>
      <w:r w:rsidR="00AA060A">
        <w:t>.</w:t>
      </w:r>
      <w:r w:rsidRPr="00403791">
        <w:t>, deMenocal P</w:t>
      </w:r>
      <w:r w:rsidR="00AA060A">
        <w:t>.</w:t>
      </w:r>
      <w:r w:rsidRPr="00403791">
        <w:t xml:space="preserve">, </w:t>
      </w:r>
      <w:proofErr w:type="spellStart"/>
      <w:r w:rsidRPr="00403791">
        <w:t>Priore</w:t>
      </w:r>
      <w:proofErr w:type="spellEnd"/>
      <w:r w:rsidRPr="00403791">
        <w:t xml:space="preserve"> P</w:t>
      </w:r>
      <w:r w:rsidR="00AA060A">
        <w:t>.</w:t>
      </w:r>
      <w:r w:rsidRPr="00403791">
        <w:t>, Cullen H</w:t>
      </w:r>
      <w:r w:rsidR="00AA060A">
        <w:t>.</w:t>
      </w:r>
      <w:r w:rsidRPr="00403791">
        <w:t xml:space="preserve">, </w:t>
      </w:r>
      <w:proofErr w:type="spellStart"/>
      <w:r w:rsidRPr="00403791">
        <w:t>Hajdas</w:t>
      </w:r>
      <w:proofErr w:type="spellEnd"/>
      <w:r w:rsidRPr="00403791">
        <w:t xml:space="preserve"> I</w:t>
      </w:r>
      <w:r w:rsidR="00AA060A">
        <w:t>.</w:t>
      </w:r>
      <w:r w:rsidRPr="00403791">
        <w:t xml:space="preserve">, </w:t>
      </w:r>
      <w:proofErr w:type="spellStart"/>
      <w:r w:rsidRPr="00403791">
        <w:t>Bonani</w:t>
      </w:r>
      <w:proofErr w:type="spellEnd"/>
      <w:r w:rsidRPr="00403791">
        <w:t xml:space="preserve"> G</w:t>
      </w:r>
      <w:r w:rsidR="00AA060A">
        <w:t>.,</w:t>
      </w:r>
      <w:r w:rsidRPr="00403791">
        <w:t xml:space="preserve"> (1997)</w:t>
      </w:r>
      <w:r w:rsidR="00AA060A">
        <w:t>,</w:t>
      </w:r>
      <w:r w:rsidRPr="00403791">
        <w:t xml:space="preserve"> </w:t>
      </w:r>
      <w:r w:rsidRPr="00AA060A">
        <w:rPr>
          <w:i/>
        </w:rPr>
        <w:t>A pervasive millennial-scale cycle in North Atlantic Holocene an</w:t>
      </w:r>
      <w:r w:rsidR="00AA060A" w:rsidRPr="00AA060A">
        <w:rPr>
          <w:i/>
        </w:rPr>
        <w:t>d glacial climates</w:t>
      </w:r>
      <w:r w:rsidR="00AA060A">
        <w:t xml:space="preserve">, &lt;&lt;Science&gt;&gt;, 278, pp. </w:t>
      </w:r>
      <w:r w:rsidRPr="00403791">
        <w:t>1257-1266</w:t>
      </w:r>
      <w:r w:rsidR="00AA060A">
        <w:t>.</w:t>
      </w:r>
    </w:p>
    <w:p w:rsidR="00094F83" w:rsidRPr="00403791" w:rsidRDefault="00094F83" w:rsidP="003724E0">
      <w:pPr>
        <w:jc w:val="both"/>
        <w:rPr>
          <w:lang w:val="en-US"/>
        </w:rPr>
      </w:pPr>
    </w:p>
    <w:p w:rsidR="00060FE6" w:rsidRPr="00403791" w:rsidRDefault="00CF3461" w:rsidP="003724E0">
      <w:pPr>
        <w:jc w:val="both"/>
        <w:rPr>
          <w:lang w:val="it-IT"/>
        </w:rPr>
      </w:pPr>
      <w:r>
        <w:rPr>
          <w:lang w:val="en-US"/>
        </w:rPr>
        <w:t>Braggio G., Guido M.A., Montanari</w:t>
      </w:r>
      <w:r w:rsidR="00060FE6" w:rsidRPr="00403791">
        <w:rPr>
          <w:lang w:val="en-US"/>
        </w:rPr>
        <w:t xml:space="preserve"> C., </w:t>
      </w:r>
      <w:r>
        <w:rPr>
          <w:lang w:val="en-US"/>
        </w:rPr>
        <w:t>(1991),</w:t>
      </w:r>
      <w:r w:rsidR="00060FE6" w:rsidRPr="00403791">
        <w:rPr>
          <w:lang w:val="en-US"/>
        </w:rPr>
        <w:t xml:space="preserve"> </w:t>
      </w:r>
      <w:r w:rsidR="00060FE6" w:rsidRPr="00CF3461">
        <w:rPr>
          <w:i/>
          <w:lang w:val="en-US"/>
        </w:rPr>
        <w:t>P</w:t>
      </w:r>
      <w:proofErr w:type="spellStart"/>
      <w:r w:rsidR="00060FE6" w:rsidRPr="00CF3461">
        <w:rPr>
          <w:i/>
        </w:rPr>
        <w:t>alaeovegetational</w:t>
      </w:r>
      <w:proofErr w:type="spellEnd"/>
      <w:r w:rsidR="00060FE6" w:rsidRPr="00CF3461">
        <w:rPr>
          <w:i/>
        </w:rPr>
        <w:t xml:space="preserve"> evidence in the Upper </w:t>
      </w:r>
      <w:proofErr w:type="spellStart"/>
      <w:r w:rsidR="00060FE6" w:rsidRPr="00CF3461">
        <w:rPr>
          <w:i/>
        </w:rPr>
        <w:t>Nure</w:t>
      </w:r>
      <w:proofErr w:type="spellEnd"/>
      <w:r w:rsidR="00060FE6" w:rsidRPr="00CF3461">
        <w:rPr>
          <w:i/>
        </w:rPr>
        <w:t xml:space="preserve"> valley (</w:t>
      </w:r>
      <w:proofErr w:type="spellStart"/>
      <w:r w:rsidR="00060FE6" w:rsidRPr="00CF3461">
        <w:rPr>
          <w:i/>
        </w:rPr>
        <w:t>Ligurian</w:t>
      </w:r>
      <w:proofErr w:type="spellEnd"/>
      <w:r w:rsidR="00060FE6" w:rsidRPr="00CF3461">
        <w:rPr>
          <w:i/>
        </w:rPr>
        <w:t>-Emil</w:t>
      </w:r>
      <w:r w:rsidRPr="00CF3461">
        <w:rPr>
          <w:i/>
        </w:rPr>
        <w:t>ian Apennines, Northern Italy),</w:t>
      </w:r>
      <w:r>
        <w:t xml:space="preserve"> &lt;&lt;</w:t>
      </w:r>
      <w:r w:rsidR="00060FE6" w:rsidRPr="00403791">
        <w:rPr>
          <w:lang w:val="it-IT"/>
        </w:rPr>
        <w:t>Webbia</w:t>
      </w:r>
      <w:r>
        <w:rPr>
          <w:lang w:val="it-IT"/>
        </w:rPr>
        <w:t>&gt;&gt;,</w:t>
      </w:r>
      <w:r w:rsidR="00060FE6" w:rsidRPr="00403791">
        <w:rPr>
          <w:lang w:val="it-IT"/>
        </w:rPr>
        <w:t xml:space="preserve"> 46, </w:t>
      </w:r>
      <w:r>
        <w:rPr>
          <w:lang w:val="it-IT"/>
        </w:rPr>
        <w:t xml:space="preserve">pp. </w:t>
      </w:r>
      <w:r w:rsidR="00060FE6" w:rsidRPr="00403791">
        <w:rPr>
          <w:lang w:val="it-IT"/>
        </w:rPr>
        <w:t>173-185.</w:t>
      </w:r>
    </w:p>
    <w:p w:rsidR="003F7200" w:rsidRPr="00403791" w:rsidRDefault="003F7200" w:rsidP="003724E0">
      <w:pPr>
        <w:jc w:val="both"/>
        <w:rPr>
          <w:lang w:val="it-IT"/>
        </w:rPr>
      </w:pPr>
    </w:p>
    <w:p w:rsidR="003F7200" w:rsidRPr="00403791" w:rsidRDefault="00CF3461" w:rsidP="003724E0">
      <w:pPr>
        <w:jc w:val="both"/>
        <w:rPr>
          <w:lang w:val="it-IT"/>
        </w:rPr>
      </w:pPr>
      <w:r>
        <w:rPr>
          <w:lang w:val="it-IT"/>
        </w:rPr>
        <w:t>Branch</w:t>
      </w:r>
      <w:r w:rsidR="003F7200" w:rsidRPr="00403791">
        <w:rPr>
          <w:lang w:val="it-IT"/>
        </w:rPr>
        <w:t xml:space="preserve"> N.P., </w:t>
      </w:r>
      <w:r>
        <w:rPr>
          <w:lang w:val="it-IT"/>
        </w:rPr>
        <w:t>(2002),</w:t>
      </w:r>
      <w:r w:rsidR="003F7200" w:rsidRPr="00403791">
        <w:rPr>
          <w:lang w:val="it-IT"/>
        </w:rPr>
        <w:t xml:space="preserve"> </w:t>
      </w:r>
      <w:r w:rsidR="003F7200" w:rsidRPr="00CF3461">
        <w:rPr>
          <w:i/>
          <w:lang w:val="it-IT"/>
        </w:rPr>
        <w:t xml:space="preserve">L’analisi palinologica per lo studio della vegetazione e </w:t>
      </w:r>
      <w:r w:rsidRPr="00CF3461">
        <w:rPr>
          <w:i/>
          <w:lang w:val="it-IT"/>
        </w:rPr>
        <w:t>della sua gestione</w:t>
      </w:r>
      <w:r>
        <w:rPr>
          <w:lang w:val="it-IT"/>
        </w:rPr>
        <w:t xml:space="preserve">, in </w:t>
      </w:r>
      <w:r w:rsidRPr="00CF3461">
        <w:rPr>
          <w:i/>
          <w:lang w:val="it-IT"/>
        </w:rPr>
        <w:t>Archeologia in Valle Lagorara</w:t>
      </w:r>
      <w:r>
        <w:rPr>
          <w:lang w:val="it-IT"/>
        </w:rPr>
        <w:t>, edited by N. Campana, R. Maggi,</w:t>
      </w:r>
      <w:r w:rsidR="003F7200" w:rsidRPr="00403791">
        <w:rPr>
          <w:lang w:val="it-IT"/>
        </w:rPr>
        <w:t xml:space="preserve"> </w:t>
      </w:r>
      <w:r>
        <w:rPr>
          <w:lang w:val="it-IT"/>
        </w:rPr>
        <w:t xml:space="preserve">Firenze: </w:t>
      </w:r>
      <w:r w:rsidR="003F7200" w:rsidRPr="00403791">
        <w:rPr>
          <w:lang w:val="it-IT"/>
        </w:rPr>
        <w:t>Istituto Italiano Di P</w:t>
      </w:r>
      <w:r>
        <w:rPr>
          <w:lang w:val="it-IT"/>
        </w:rPr>
        <w:t>reistoria e Protostoria</w:t>
      </w:r>
      <w:r w:rsidR="003F7200" w:rsidRPr="00403791">
        <w:rPr>
          <w:lang w:val="it-IT"/>
        </w:rPr>
        <w:t>, pp. 339-353.</w:t>
      </w:r>
    </w:p>
    <w:p w:rsidR="003F7200" w:rsidRPr="00403791" w:rsidRDefault="003F7200" w:rsidP="003724E0">
      <w:pPr>
        <w:jc w:val="both"/>
        <w:rPr>
          <w:lang w:val="it-IT"/>
        </w:rPr>
      </w:pPr>
    </w:p>
    <w:p w:rsidR="003F7200" w:rsidRPr="00403791" w:rsidRDefault="00CF3461" w:rsidP="003724E0">
      <w:pPr>
        <w:jc w:val="both"/>
      </w:pPr>
      <w:r>
        <w:rPr>
          <w:lang w:val="it-IT"/>
        </w:rPr>
        <w:t>Branch</w:t>
      </w:r>
      <w:r w:rsidR="003F7200" w:rsidRPr="00403791">
        <w:rPr>
          <w:lang w:val="it-IT"/>
        </w:rPr>
        <w:t xml:space="preserve"> N.P., </w:t>
      </w:r>
      <w:r>
        <w:rPr>
          <w:lang w:val="it-IT"/>
        </w:rPr>
        <w:t>(2004),</w:t>
      </w:r>
      <w:r w:rsidR="003F7200" w:rsidRPr="00403791">
        <w:rPr>
          <w:lang w:val="it-IT"/>
        </w:rPr>
        <w:t xml:space="preserve"> </w:t>
      </w:r>
      <w:r w:rsidR="003F7200" w:rsidRPr="00CF3461">
        <w:rPr>
          <w:i/>
        </w:rPr>
        <w:t>Late Würm Lateglacial and Holocene environmental history of th</w:t>
      </w:r>
      <w:r w:rsidRPr="00CF3461">
        <w:rPr>
          <w:i/>
        </w:rPr>
        <w:t>e Ligurian Apennines, Italy,</w:t>
      </w:r>
      <w:r>
        <w:t xml:space="preserve"> in </w:t>
      </w:r>
      <w:r w:rsidRPr="00CF3461">
        <w:rPr>
          <w:i/>
        </w:rPr>
        <w:t>Ligurian Landscapes: studies on archaeology, geography and history</w:t>
      </w:r>
      <w:r>
        <w:t xml:space="preserve">, edited by R. </w:t>
      </w:r>
      <w:proofErr w:type="spellStart"/>
      <w:r>
        <w:t>Balzaretti</w:t>
      </w:r>
      <w:proofErr w:type="spellEnd"/>
      <w:r>
        <w:t>, M. Pearce, C. Watkins,</w:t>
      </w:r>
      <w:r w:rsidR="003F7200" w:rsidRPr="00403791">
        <w:t xml:space="preserve"> </w:t>
      </w:r>
      <w:r>
        <w:t xml:space="preserve">London: </w:t>
      </w:r>
      <w:proofErr w:type="spellStart"/>
      <w:r w:rsidR="003F7200" w:rsidRPr="00403791">
        <w:t>Acc</w:t>
      </w:r>
      <w:r>
        <w:t>ordia</w:t>
      </w:r>
      <w:proofErr w:type="spellEnd"/>
      <w:r>
        <w:t xml:space="preserve"> Research Institute</w:t>
      </w:r>
      <w:r w:rsidR="003F7200" w:rsidRPr="00403791">
        <w:t>, pp. 7-69.</w:t>
      </w:r>
    </w:p>
    <w:p w:rsidR="003F7200" w:rsidRPr="00403791" w:rsidRDefault="003F7200" w:rsidP="003724E0">
      <w:pPr>
        <w:jc w:val="both"/>
      </w:pPr>
    </w:p>
    <w:p w:rsidR="003F7200" w:rsidRPr="00403791" w:rsidRDefault="00CF3461" w:rsidP="003724E0">
      <w:pPr>
        <w:jc w:val="both"/>
      </w:pPr>
      <w:r>
        <w:t>Branch</w:t>
      </w:r>
      <w:r w:rsidR="003F7200" w:rsidRPr="00403791">
        <w:t xml:space="preserve"> N.P., </w:t>
      </w:r>
      <w:r>
        <w:t>(2013),</w:t>
      </w:r>
      <w:r w:rsidR="003F7200" w:rsidRPr="00403791">
        <w:t xml:space="preserve"> </w:t>
      </w:r>
      <w:r w:rsidR="003F7200" w:rsidRPr="00CF3461">
        <w:rPr>
          <w:i/>
        </w:rPr>
        <w:t>Early – Middle Holocene vegetation history, climate change and human activities at Lago Riane</w:t>
      </w:r>
      <w:r w:rsidRPr="00CF3461">
        <w:rPr>
          <w:i/>
        </w:rPr>
        <w:t xml:space="preserve"> (Ligurian Apennines, NW Italy),</w:t>
      </w:r>
      <w:r w:rsidR="003F7200" w:rsidRPr="00403791">
        <w:t xml:space="preserve"> </w:t>
      </w:r>
      <w:r>
        <w:t>&lt;&lt;</w:t>
      </w:r>
      <w:r w:rsidR="003F7200" w:rsidRPr="00403791">
        <w:t>Vegetation History and Archaeobotany</w:t>
      </w:r>
      <w:r w:rsidR="00014B28">
        <w:t>&gt;&gt;,</w:t>
      </w:r>
      <w:r w:rsidR="003F7200" w:rsidRPr="00403791">
        <w:t xml:space="preserve"> 22, </w:t>
      </w:r>
      <w:r w:rsidR="00014B28">
        <w:t xml:space="preserve">pp. </w:t>
      </w:r>
      <w:r w:rsidR="003F7200" w:rsidRPr="00403791">
        <w:t>315-334.</w:t>
      </w:r>
    </w:p>
    <w:p w:rsidR="0036050C" w:rsidRPr="00403791" w:rsidRDefault="0036050C" w:rsidP="003724E0">
      <w:pPr>
        <w:jc w:val="both"/>
      </w:pPr>
    </w:p>
    <w:p w:rsidR="0036050C" w:rsidRPr="00403791" w:rsidRDefault="00014B28" w:rsidP="003724E0">
      <w:pPr>
        <w:jc w:val="both"/>
      </w:pPr>
      <w:r>
        <w:t>Branch N.P., Marini</w:t>
      </w:r>
      <w:r w:rsidR="0036050C" w:rsidRPr="00403791">
        <w:t xml:space="preserve"> A.F.</w:t>
      </w:r>
      <w:r>
        <w:t>,</w:t>
      </w:r>
      <w:r w:rsidR="0036050C" w:rsidRPr="00403791">
        <w:t xml:space="preserve"> </w:t>
      </w:r>
      <w:r>
        <w:t>(2014),</w:t>
      </w:r>
      <w:r w:rsidR="0036050C" w:rsidRPr="00403791">
        <w:t xml:space="preserve"> </w:t>
      </w:r>
      <w:r w:rsidR="0036050C" w:rsidRPr="00014B28">
        <w:rPr>
          <w:bCs/>
          <w:i/>
        </w:rPr>
        <w:t>Mid-Late Holocene Environmental Change and Human Activities i</w:t>
      </w:r>
      <w:r w:rsidRPr="00014B28">
        <w:rPr>
          <w:bCs/>
          <w:i/>
        </w:rPr>
        <w:t>n the northern Apennines, Italy</w:t>
      </w:r>
      <w:r>
        <w:rPr>
          <w:bCs/>
        </w:rPr>
        <w:t>,</w:t>
      </w:r>
      <w:r w:rsidR="0036050C" w:rsidRPr="00403791">
        <w:rPr>
          <w:bCs/>
        </w:rPr>
        <w:t xml:space="preserve"> </w:t>
      </w:r>
      <w:r>
        <w:rPr>
          <w:bCs/>
        </w:rPr>
        <w:t>&lt;&lt;</w:t>
      </w:r>
      <w:r w:rsidR="0036050C" w:rsidRPr="00403791">
        <w:rPr>
          <w:bCs/>
        </w:rPr>
        <w:t>Quaternary International</w:t>
      </w:r>
      <w:r>
        <w:rPr>
          <w:bCs/>
        </w:rPr>
        <w:t>&gt;&gt;,</w:t>
      </w:r>
      <w:r w:rsidR="0036050C" w:rsidRPr="00403791">
        <w:rPr>
          <w:bCs/>
        </w:rPr>
        <w:t xml:space="preserve"> 353, </w:t>
      </w:r>
      <w:r>
        <w:rPr>
          <w:bCs/>
        </w:rPr>
        <w:t xml:space="preserve">pp. </w:t>
      </w:r>
      <w:r w:rsidR="0036050C" w:rsidRPr="00403791">
        <w:rPr>
          <w:bCs/>
        </w:rPr>
        <w:t>34-51.</w:t>
      </w:r>
    </w:p>
    <w:p w:rsidR="00E92091" w:rsidRPr="00403791" w:rsidRDefault="00E92091" w:rsidP="003724E0">
      <w:pPr>
        <w:jc w:val="both"/>
      </w:pPr>
    </w:p>
    <w:p w:rsidR="00E92091" w:rsidRPr="00403791" w:rsidRDefault="00E92091" w:rsidP="003724E0">
      <w:pPr>
        <w:jc w:val="both"/>
      </w:pPr>
      <w:r w:rsidRPr="00403791">
        <w:t>Branch N</w:t>
      </w:r>
      <w:r w:rsidR="00014B28">
        <w:t>.</w:t>
      </w:r>
      <w:r w:rsidRPr="00403791">
        <w:t>P</w:t>
      </w:r>
      <w:r w:rsidR="00014B28">
        <w:t>.</w:t>
      </w:r>
      <w:r w:rsidRPr="00403791">
        <w:t>, Canti M</w:t>
      </w:r>
      <w:r w:rsidR="00014B28">
        <w:t>.</w:t>
      </w:r>
      <w:r w:rsidRPr="00403791">
        <w:t>G</w:t>
      </w:r>
      <w:r w:rsidR="00014B28">
        <w:t>.</w:t>
      </w:r>
      <w:r w:rsidRPr="00403791">
        <w:t>, Clark P</w:t>
      </w:r>
      <w:r w:rsidR="00014B28">
        <w:t>.</w:t>
      </w:r>
      <w:r w:rsidRPr="00403791">
        <w:t>, Turney C</w:t>
      </w:r>
      <w:r w:rsidR="00014B28">
        <w:t>.</w:t>
      </w:r>
      <w:r w:rsidRPr="00403791">
        <w:t>S</w:t>
      </w:r>
      <w:r w:rsidR="00014B28">
        <w:t>.</w:t>
      </w:r>
      <w:r w:rsidRPr="00403791">
        <w:t>M</w:t>
      </w:r>
      <w:r w:rsidR="00014B28">
        <w:t>.,</w:t>
      </w:r>
      <w:r w:rsidRPr="00403791">
        <w:t xml:space="preserve"> (2005)</w:t>
      </w:r>
      <w:r w:rsidR="00014B28">
        <w:t>,</w:t>
      </w:r>
      <w:r w:rsidRPr="00403791">
        <w:t xml:space="preserve"> </w:t>
      </w:r>
      <w:r w:rsidRPr="00014B28">
        <w:rPr>
          <w:i/>
        </w:rPr>
        <w:t>Environmental Archaeology, Theore</w:t>
      </w:r>
      <w:r w:rsidR="00014B28" w:rsidRPr="00014B28">
        <w:rPr>
          <w:i/>
        </w:rPr>
        <w:t>tical and Practical Approaches</w:t>
      </w:r>
      <w:r w:rsidR="00014B28">
        <w:t>, London: Arnold.</w:t>
      </w:r>
    </w:p>
    <w:p w:rsidR="0036050C" w:rsidRPr="00403791" w:rsidRDefault="0036050C" w:rsidP="003724E0">
      <w:pPr>
        <w:jc w:val="both"/>
      </w:pPr>
    </w:p>
    <w:p w:rsidR="0036050C" w:rsidRPr="00403791" w:rsidRDefault="00014B28" w:rsidP="003724E0">
      <w:pPr>
        <w:pStyle w:val="Heading1"/>
        <w:shd w:val="clear" w:color="auto" w:fill="FFFFFF"/>
        <w:spacing w:after="120"/>
        <w:rPr>
          <w:b w:val="0"/>
          <w:bCs w:val="0"/>
          <w:color w:val="000000"/>
          <w:sz w:val="24"/>
        </w:rPr>
      </w:pPr>
      <w:r>
        <w:rPr>
          <w:b w:val="0"/>
          <w:bCs w:val="0"/>
          <w:color w:val="000000"/>
          <w:sz w:val="24"/>
        </w:rPr>
        <w:t>Branch</w:t>
      </w:r>
      <w:r w:rsidR="0036050C" w:rsidRPr="00403791">
        <w:rPr>
          <w:b w:val="0"/>
          <w:bCs w:val="0"/>
          <w:color w:val="000000"/>
          <w:sz w:val="24"/>
        </w:rPr>
        <w:t xml:space="preserve"> N.P., Black</w:t>
      </w:r>
      <w:r>
        <w:rPr>
          <w:b w:val="0"/>
          <w:bCs w:val="0"/>
          <w:color w:val="000000"/>
          <w:sz w:val="24"/>
        </w:rPr>
        <w:t xml:space="preserve"> S., Maggi R., Marini A.F., (</w:t>
      </w:r>
      <w:r w:rsidR="0036050C" w:rsidRPr="00403791">
        <w:rPr>
          <w:b w:val="0"/>
          <w:bCs w:val="0"/>
          <w:color w:val="000000"/>
          <w:sz w:val="24"/>
        </w:rPr>
        <w:t>2014</w:t>
      </w:r>
      <w:r>
        <w:rPr>
          <w:b w:val="0"/>
          <w:bCs w:val="0"/>
          <w:color w:val="000000"/>
          <w:sz w:val="24"/>
        </w:rPr>
        <w:t>),</w:t>
      </w:r>
      <w:r w:rsidR="0036050C" w:rsidRPr="00403791">
        <w:rPr>
          <w:b w:val="0"/>
          <w:bCs w:val="0"/>
          <w:color w:val="000000"/>
          <w:sz w:val="24"/>
        </w:rPr>
        <w:t xml:space="preserve"> </w:t>
      </w:r>
      <w:r w:rsidR="0036050C" w:rsidRPr="00014B28">
        <w:rPr>
          <w:b w:val="0"/>
          <w:bCs w:val="0"/>
          <w:i/>
          <w:color w:val="000000"/>
          <w:sz w:val="24"/>
        </w:rPr>
        <w:t>The Neolithisation of Liguria (NW Italy): An environmental archaeological and p</w:t>
      </w:r>
      <w:r w:rsidRPr="00014B28">
        <w:rPr>
          <w:b w:val="0"/>
          <w:bCs w:val="0"/>
          <w:i/>
          <w:color w:val="000000"/>
          <w:sz w:val="24"/>
        </w:rPr>
        <w:t>alaeoenvironmental perspective</w:t>
      </w:r>
      <w:r>
        <w:rPr>
          <w:b w:val="0"/>
          <w:bCs w:val="0"/>
          <w:color w:val="000000"/>
          <w:sz w:val="24"/>
        </w:rPr>
        <w:t>, &lt;&lt;</w:t>
      </w:r>
      <w:r w:rsidR="0036050C" w:rsidRPr="00403791">
        <w:rPr>
          <w:b w:val="0"/>
          <w:bCs w:val="0"/>
          <w:color w:val="000000"/>
          <w:sz w:val="24"/>
        </w:rPr>
        <w:t>Environmental Archaeology</w:t>
      </w:r>
      <w:r>
        <w:rPr>
          <w:b w:val="0"/>
          <w:bCs w:val="0"/>
          <w:color w:val="000000"/>
          <w:sz w:val="24"/>
        </w:rPr>
        <w:t>&gt;&gt;,</w:t>
      </w:r>
      <w:r w:rsidR="0036050C" w:rsidRPr="00403791">
        <w:rPr>
          <w:b w:val="0"/>
          <w:bCs w:val="0"/>
          <w:color w:val="000000"/>
          <w:sz w:val="24"/>
        </w:rPr>
        <w:t xml:space="preserve"> 19, </w:t>
      </w:r>
      <w:r>
        <w:rPr>
          <w:b w:val="0"/>
          <w:bCs w:val="0"/>
          <w:color w:val="000000"/>
          <w:sz w:val="24"/>
        </w:rPr>
        <w:t xml:space="preserve">pp. </w:t>
      </w:r>
      <w:r w:rsidR="0036050C" w:rsidRPr="00403791">
        <w:rPr>
          <w:b w:val="0"/>
          <w:bCs w:val="0"/>
          <w:color w:val="000000"/>
          <w:sz w:val="24"/>
        </w:rPr>
        <w:t>196-213.</w:t>
      </w:r>
    </w:p>
    <w:p w:rsidR="00FB5D25" w:rsidRPr="00403791" w:rsidRDefault="00FB5D25" w:rsidP="003724E0">
      <w:pPr>
        <w:jc w:val="both"/>
      </w:pPr>
    </w:p>
    <w:p w:rsidR="00FB5D25" w:rsidRPr="00403791" w:rsidRDefault="00014B28" w:rsidP="003724E0">
      <w:pPr>
        <w:jc w:val="both"/>
      </w:pPr>
      <w:r>
        <w:t xml:space="preserve">Brewer S., François L., </w:t>
      </w:r>
      <w:proofErr w:type="spellStart"/>
      <w:r>
        <w:t>Cheddadi</w:t>
      </w:r>
      <w:proofErr w:type="spellEnd"/>
      <w:r>
        <w:t xml:space="preserve"> R., Laurent J.-M., Favre</w:t>
      </w:r>
      <w:r w:rsidR="00FB5D25" w:rsidRPr="00403791">
        <w:t xml:space="preserve"> E., </w:t>
      </w:r>
      <w:r>
        <w:t>(</w:t>
      </w:r>
      <w:r w:rsidR="00FB5D25" w:rsidRPr="00403791">
        <w:t>200</w:t>
      </w:r>
      <w:r>
        <w:t>9),</w:t>
      </w:r>
      <w:r w:rsidR="00FB5D25" w:rsidRPr="00403791">
        <w:t xml:space="preserve"> </w:t>
      </w:r>
      <w:r w:rsidR="00FB5D25" w:rsidRPr="00ED0059">
        <w:rPr>
          <w:i/>
        </w:rPr>
        <w:t>Compari</w:t>
      </w:r>
      <w:r w:rsidR="00FB5D25" w:rsidRPr="00ED0059">
        <w:rPr>
          <w:i/>
        </w:rPr>
        <w:softHyphen/>
        <w:t>son of simulated and observed vegetation</w:t>
      </w:r>
      <w:r w:rsidR="00ED0059" w:rsidRPr="00ED0059">
        <w:rPr>
          <w:i/>
        </w:rPr>
        <w:t xml:space="preserve"> for the mid-Holocene in Europe</w:t>
      </w:r>
      <w:r w:rsidR="00ED0059">
        <w:t>,</w:t>
      </w:r>
      <w:r w:rsidR="00FB5D25" w:rsidRPr="00403791">
        <w:t xml:space="preserve"> </w:t>
      </w:r>
      <w:r w:rsidR="00ED0059">
        <w:t>&lt;&lt;</w:t>
      </w:r>
      <w:r w:rsidR="00FB5D25" w:rsidRPr="00403791">
        <w:t>Climate of the Past Discussions</w:t>
      </w:r>
      <w:r w:rsidR="00ED0059">
        <w:t>&gt;&gt;,</w:t>
      </w:r>
      <w:r w:rsidR="00FB5D25" w:rsidRPr="00403791">
        <w:t xml:space="preserve"> 5, </w:t>
      </w:r>
      <w:r w:rsidR="00ED0059">
        <w:t xml:space="preserve">pp. </w:t>
      </w:r>
      <w:r w:rsidR="00FB5D25" w:rsidRPr="00403791">
        <w:t>965-1011.</w:t>
      </w:r>
    </w:p>
    <w:p w:rsidR="005456E8" w:rsidRPr="00403791" w:rsidRDefault="005456E8" w:rsidP="003724E0">
      <w:pPr>
        <w:jc w:val="both"/>
      </w:pPr>
    </w:p>
    <w:p w:rsidR="005456E8" w:rsidRPr="00403791" w:rsidRDefault="005456E8" w:rsidP="003724E0">
      <w:pPr>
        <w:widowControl w:val="0"/>
        <w:autoSpaceDE w:val="0"/>
        <w:autoSpaceDN w:val="0"/>
        <w:adjustRightInd w:val="0"/>
        <w:jc w:val="both"/>
      </w:pPr>
      <w:r w:rsidRPr="00403791">
        <w:t>Bronk Ramsey C</w:t>
      </w:r>
      <w:r w:rsidR="00ED0059">
        <w:t>.,</w:t>
      </w:r>
      <w:r w:rsidRPr="00403791">
        <w:t xml:space="preserve"> (1995)</w:t>
      </w:r>
      <w:r w:rsidR="00ED0059">
        <w:t>,</w:t>
      </w:r>
      <w:r w:rsidRPr="00403791">
        <w:t xml:space="preserve"> </w:t>
      </w:r>
      <w:r w:rsidRPr="00ED0059">
        <w:rPr>
          <w:i/>
        </w:rPr>
        <w:t xml:space="preserve">Radiocarbon calibration and analysis of </w:t>
      </w:r>
      <w:r w:rsidR="00ED0059" w:rsidRPr="00ED0059">
        <w:rPr>
          <w:i/>
        </w:rPr>
        <w:t xml:space="preserve">stratigraphy: the </w:t>
      </w:r>
      <w:proofErr w:type="spellStart"/>
      <w:r w:rsidR="00ED0059" w:rsidRPr="00ED0059">
        <w:rPr>
          <w:i/>
        </w:rPr>
        <w:t>oxcal</w:t>
      </w:r>
      <w:proofErr w:type="spellEnd"/>
      <w:r w:rsidR="00ED0059" w:rsidRPr="00ED0059">
        <w:rPr>
          <w:i/>
        </w:rPr>
        <w:t xml:space="preserve"> program</w:t>
      </w:r>
      <w:r w:rsidR="00ED0059">
        <w:t>,</w:t>
      </w:r>
      <w:r w:rsidRPr="00403791">
        <w:t xml:space="preserve"> </w:t>
      </w:r>
      <w:r w:rsidR="00ED0059">
        <w:t>&lt;&lt;</w:t>
      </w:r>
      <w:r w:rsidRPr="00403791">
        <w:rPr>
          <w:iCs/>
        </w:rPr>
        <w:t>Radiocarbon</w:t>
      </w:r>
      <w:r w:rsidR="00ED0059">
        <w:rPr>
          <w:iCs/>
        </w:rPr>
        <w:t>&gt;&gt;,</w:t>
      </w:r>
      <w:r w:rsidRPr="00403791">
        <w:rPr>
          <w:iCs/>
        </w:rPr>
        <w:t xml:space="preserve"> </w:t>
      </w:r>
      <w:r w:rsidR="00ED0059">
        <w:t xml:space="preserve">37(2), pp. </w:t>
      </w:r>
      <w:r w:rsidRPr="00403791">
        <w:t>425-430</w:t>
      </w:r>
      <w:r w:rsidR="00ED0059">
        <w:t>.</w:t>
      </w:r>
    </w:p>
    <w:p w:rsidR="005456E8" w:rsidRPr="00403791" w:rsidRDefault="005456E8" w:rsidP="003724E0">
      <w:pPr>
        <w:widowControl w:val="0"/>
        <w:autoSpaceDE w:val="0"/>
        <w:autoSpaceDN w:val="0"/>
        <w:adjustRightInd w:val="0"/>
        <w:jc w:val="both"/>
      </w:pPr>
    </w:p>
    <w:p w:rsidR="005456E8" w:rsidRPr="00403791" w:rsidRDefault="005456E8" w:rsidP="003724E0">
      <w:pPr>
        <w:widowControl w:val="0"/>
        <w:autoSpaceDE w:val="0"/>
        <w:autoSpaceDN w:val="0"/>
        <w:adjustRightInd w:val="0"/>
        <w:jc w:val="both"/>
      </w:pPr>
      <w:r w:rsidRPr="00403791">
        <w:t>Bronk Ramsey C</w:t>
      </w:r>
      <w:r w:rsidR="00ED0059">
        <w:t>.,</w:t>
      </w:r>
      <w:r w:rsidRPr="00403791">
        <w:t xml:space="preserve"> (2001)</w:t>
      </w:r>
      <w:r w:rsidR="00ED0059">
        <w:t>,</w:t>
      </w:r>
      <w:r w:rsidRPr="00403791">
        <w:t xml:space="preserve"> </w:t>
      </w:r>
      <w:r w:rsidRPr="00ED0059">
        <w:rPr>
          <w:i/>
        </w:rPr>
        <w:t>Development o</w:t>
      </w:r>
      <w:r w:rsidR="00ED0059" w:rsidRPr="00ED0059">
        <w:rPr>
          <w:i/>
        </w:rPr>
        <w:t xml:space="preserve">f the radiocarbon program </w:t>
      </w:r>
      <w:proofErr w:type="spellStart"/>
      <w:r w:rsidR="00ED0059" w:rsidRPr="00ED0059">
        <w:rPr>
          <w:i/>
        </w:rPr>
        <w:t>oxcal</w:t>
      </w:r>
      <w:proofErr w:type="spellEnd"/>
      <w:r w:rsidR="00ED0059">
        <w:t>,</w:t>
      </w:r>
      <w:r w:rsidRPr="00403791">
        <w:t xml:space="preserve"> </w:t>
      </w:r>
      <w:r w:rsidR="00ED0059">
        <w:t>&lt;&lt;</w:t>
      </w:r>
      <w:r w:rsidRPr="00403791">
        <w:rPr>
          <w:iCs/>
        </w:rPr>
        <w:t>Radiocarbon</w:t>
      </w:r>
      <w:r w:rsidR="00ED0059">
        <w:rPr>
          <w:iCs/>
        </w:rPr>
        <w:t>&gt;&gt;,</w:t>
      </w:r>
      <w:r w:rsidRPr="00403791">
        <w:rPr>
          <w:iCs/>
        </w:rPr>
        <w:t xml:space="preserve"> </w:t>
      </w:r>
      <w:r w:rsidR="00ED0059">
        <w:t xml:space="preserve">43(2a), pp. </w:t>
      </w:r>
      <w:r w:rsidRPr="00403791">
        <w:t>355-363</w:t>
      </w:r>
      <w:r w:rsidR="00ED0059">
        <w:t>.</w:t>
      </w:r>
    </w:p>
    <w:p w:rsidR="005456E8" w:rsidRPr="00403791" w:rsidRDefault="005456E8" w:rsidP="003724E0">
      <w:pPr>
        <w:widowControl w:val="0"/>
        <w:autoSpaceDE w:val="0"/>
        <w:autoSpaceDN w:val="0"/>
        <w:adjustRightInd w:val="0"/>
        <w:jc w:val="both"/>
      </w:pPr>
    </w:p>
    <w:p w:rsidR="005456E8" w:rsidRPr="00403791" w:rsidRDefault="005456E8" w:rsidP="003724E0">
      <w:pPr>
        <w:widowControl w:val="0"/>
        <w:autoSpaceDE w:val="0"/>
        <w:autoSpaceDN w:val="0"/>
        <w:adjustRightInd w:val="0"/>
        <w:jc w:val="both"/>
      </w:pPr>
      <w:r w:rsidRPr="00403791">
        <w:t>Bronk Ramsey C</w:t>
      </w:r>
      <w:r w:rsidR="00ED0059">
        <w:t>.,</w:t>
      </w:r>
      <w:r w:rsidRPr="00403791">
        <w:t xml:space="preserve"> (2007)</w:t>
      </w:r>
      <w:r w:rsidR="00ED0059">
        <w:t>,</w:t>
      </w:r>
      <w:r w:rsidRPr="00403791">
        <w:t xml:space="preserve"> </w:t>
      </w:r>
      <w:r w:rsidRPr="00E96C8B">
        <w:rPr>
          <w:i/>
        </w:rPr>
        <w:t>Deposition m</w:t>
      </w:r>
      <w:r w:rsidR="00E96C8B" w:rsidRPr="00E96C8B">
        <w:rPr>
          <w:i/>
        </w:rPr>
        <w:t>odels for chronological records</w:t>
      </w:r>
      <w:r w:rsidR="00E96C8B">
        <w:t>,</w:t>
      </w:r>
      <w:r w:rsidRPr="00403791">
        <w:t xml:space="preserve"> </w:t>
      </w:r>
      <w:r w:rsidR="00E96C8B">
        <w:t>&lt;&lt;</w:t>
      </w:r>
      <w:r w:rsidRPr="00403791">
        <w:rPr>
          <w:iCs/>
        </w:rPr>
        <w:t>Quaternary Science Reviews</w:t>
      </w:r>
      <w:r w:rsidR="00E96C8B">
        <w:rPr>
          <w:iCs/>
        </w:rPr>
        <w:t>&gt;&gt;,</w:t>
      </w:r>
      <w:r w:rsidRPr="00403791">
        <w:rPr>
          <w:iCs/>
        </w:rPr>
        <w:t xml:space="preserve"> </w:t>
      </w:r>
      <w:r w:rsidR="00E96C8B">
        <w:t xml:space="preserve">27(1-2), pp. </w:t>
      </w:r>
      <w:r w:rsidRPr="00403791">
        <w:t>42-60</w:t>
      </w:r>
      <w:r w:rsidR="00E96C8B">
        <w:t>.</w:t>
      </w:r>
    </w:p>
    <w:p w:rsidR="00060FE6" w:rsidRPr="00403791" w:rsidRDefault="00060FE6" w:rsidP="003724E0">
      <w:pPr>
        <w:jc w:val="both"/>
      </w:pPr>
    </w:p>
    <w:p w:rsidR="00060FE6" w:rsidRPr="00403791" w:rsidRDefault="00E96C8B" w:rsidP="003724E0">
      <w:pPr>
        <w:jc w:val="both"/>
      </w:pPr>
      <w:r>
        <w:t>Cruise</w:t>
      </w:r>
      <w:r w:rsidR="00060FE6" w:rsidRPr="00403791">
        <w:t xml:space="preserve"> G.M., </w:t>
      </w:r>
      <w:r>
        <w:t>(1990a),</w:t>
      </w:r>
      <w:r w:rsidR="00060FE6" w:rsidRPr="00403791">
        <w:t xml:space="preserve"> </w:t>
      </w:r>
      <w:r w:rsidR="00060FE6" w:rsidRPr="00E96C8B">
        <w:rPr>
          <w:i/>
        </w:rPr>
        <w:t>Holocene peat initiation in the Ligu</w:t>
      </w:r>
      <w:r w:rsidRPr="00E96C8B">
        <w:rPr>
          <w:i/>
        </w:rPr>
        <w:t>rian Apennines, northern Italy</w:t>
      </w:r>
      <w:r>
        <w:t>, &lt;&lt;</w:t>
      </w:r>
      <w:r w:rsidR="00060FE6" w:rsidRPr="00403791">
        <w:t>Review of Palaeobotany and Palynology</w:t>
      </w:r>
      <w:r>
        <w:t>&gt;&gt;,</w:t>
      </w:r>
      <w:r w:rsidR="00060FE6" w:rsidRPr="00403791">
        <w:t xml:space="preserve"> 63, </w:t>
      </w:r>
      <w:r>
        <w:t xml:space="preserve">pp. </w:t>
      </w:r>
      <w:r w:rsidR="00060FE6" w:rsidRPr="00403791">
        <w:t>173-182.</w:t>
      </w:r>
    </w:p>
    <w:p w:rsidR="00060FE6" w:rsidRPr="00403791" w:rsidRDefault="00060FE6" w:rsidP="003724E0">
      <w:pPr>
        <w:jc w:val="both"/>
      </w:pPr>
    </w:p>
    <w:p w:rsidR="00060FE6" w:rsidRPr="00403791" w:rsidRDefault="00E96C8B" w:rsidP="003724E0">
      <w:pPr>
        <w:jc w:val="both"/>
      </w:pPr>
      <w:r>
        <w:t>Cruise</w:t>
      </w:r>
      <w:r w:rsidR="00060FE6" w:rsidRPr="00403791">
        <w:t xml:space="preserve"> G.M., </w:t>
      </w:r>
      <w:r>
        <w:t>(1990b),</w:t>
      </w:r>
      <w:r w:rsidR="00060FE6" w:rsidRPr="00403791">
        <w:t xml:space="preserve"> </w:t>
      </w:r>
      <w:r w:rsidR="00060FE6" w:rsidRPr="00E96C8B">
        <w:rPr>
          <w:i/>
        </w:rPr>
        <w:t>Pollen stratigraphy of two Holocene peat sites in the Ligu</w:t>
      </w:r>
      <w:r w:rsidRPr="00E96C8B">
        <w:rPr>
          <w:i/>
        </w:rPr>
        <w:t>rian Apennines, northern Italy</w:t>
      </w:r>
      <w:r>
        <w:t>, &lt;&lt;</w:t>
      </w:r>
      <w:r w:rsidR="00060FE6" w:rsidRPr="00403791">
        <w:t>Review</w:t>
      </w:r>
      <w:r>
        <w:t xml:space="preserve"> of Palaeobotany and Palynology&gt;&gt;, </w:t>
      </w:r>
      <w:r w:rsidR="00060FE6" w:rsidRPr="00403791">
        <w:t xml:space="preserve">63, </w:t>
      </w:r>
      <w:r>
        <w:t xml:space="preserve">pp. </w:t>
      </w:r>
      <w:r w:rsidR="00060FE6" w:rsidRPr="00403791">
        <w:t>299-313.</w:t>
      </w:r>
    </w:p>
    <w:p w:rsidR="00094F83" w:rsidRPr="00403791" w:rsidRDefault="00094F83" w:rsidP="003724E0">
      <w:pPr>
        <w:jc w:val="both"/>
      </w:pPr>
    </w:p>
    <w:p w:rsidR="003F7200" w:rsidRDefault="00E96C8B" w:rsidP="003724E0">
      <w:pPr>
        <w:jc w:val="both"/>
      </w:pPr>
      <w:r>
        <w:t xml:space="preserve">Cruise G.M., </w:t>
      </w:r>
      <w:proofErr w:type="spellStart"/>
      <w:r>
        <w:t>Macphail</w:t>
      </w:r>
      <w:proofErr w:type="spellEnd"/>
      <w:r>
        <w:t xml:space="preserve"> R.I., </w:t>
      </w:r>
      <w:proofErr w:type="spellStart"/>
      <w:r>
        <w:t>Linderholm</w:t>
      </w:r>
      <w:proofErr w:type="spellEnd"/>
      <w:r>
        <w:t xml:space="preserve"> J., Maggi R., Marshall</w:t>
      </w:r>
      <w:r w:rsidR="00094F83" w:rsidRPr="00403791">
        <w:t xml:space="preserve"> P.D., </w:t>
      </w:r>
      <w:r>
        <w:t>(2009),</w:t>
      </w:r>
      <w:r w:rsidR="00094F83" w:rsidRPr="00403791">
        <w:t xml:space="preserve"> </w:t>
      </w:r>
      <w:r w:rsidR="00094F83" w:rsidRPr="00E96C8B">
        <w:rPr>
          <w:i/>
        </w:rPr>
        <w:t>Lago di Bargone, Liguria, N Italy: a reconstruction of Holocene envi</w:t>
      </w:r>
      <w:r w:rsidRPr="00E96C8B">
        <w:rPr>
          <w:i/>
        </w:rPr>
        <w:t>ronmental and land-use history</w:t>
      </w:r>
      <w:r>
        <w:t>, &lt;&lt;</w:t>
      </w:r>
      <w:r w:rsidR="00094F83" w:rsidRPr="00403791">
        <w:t>The Holocene</w:t>
      </w:r>
      <w:r>
        <w:t>&gt;&gt;,</w:t>
      </w:r>
      <w:r w:rsidR="00094F83" w:rsidRPr="00403791">
        <w:t xml:space="preserve"> 19, </w:t>
      </w:r>
      <w:r>
        <w:t xml:space="preserve">pp. </w:t>
      </w:r>
      <w:r w:rsidR="00094F83" w:rsidRPr="00403791">
        <w:t>987-1003.</w:t>
      </w:r>
    </w:p>
    <w:p w:rsidR="00E63082" w:rsidRPr="00E63082" w:rsidRDefault="00E63082" w:rsidP="003724E0">
      <w:pPr>
        <w:jc w:val="both"/>
      </w:pPr>
    </w:p>
    <w:p w:rsidR="00E63082" w:rsidRPr="00E63082" w:rsidRDefault="001576EC" w:rsidP="003724E0">
      <w:pPr>
        <w:spacing w:after="240"/>
        <w:contextualSpacing/>
        <w:jc w:val="both"/>
      </w:pPr>
      <w:proofErr w:type="spellStart"/>
      <w:r>
        <w:t>Cugny</w:t>
      </w:r>
      <w:proofErr w:type="spellEnd"/>
      <w:r>
        <w:t xml:space="preserve"> C., </w:t>
      </w:r>
      <w:proofErr w:type="spellStart"/>
      <w:r>
        <w:t>Mazier</w:t>
      </w:r>
      <w:proofErr w:type="spellEnd"/>
      <w:r>
        <w:t xml:space="preserve"> F., </w:t>
      </w:r>
      <w:proofErr w:type="spellStart"/>
      <w:r>
        <w:t>Galop</w:t>
      </w:r>
      <w:proofErr w:type="spellEnd"/>
      <w:r w:rsidR="00E63082" w:rsidRPr="00E63082">
        <w:t xml:space="preserve"> D., </w:t>
      </w:r>
      <w:r>
        <w:t>(2010),</w:t>
      </w:r>
      <w:r w:rsidR="00E63082" w:rsidRPr="00E63082">
        <w:t xml:space="preserve"> </w:t>
      </w:r>
      <w:r w:rsidR="00E63082" w:rsidRPr="001576EC">
        <w:rPr>
          <w:i/>
        </w:rPr>
        <w:t>Modern and fossil non-pollen palynomorphs from the Basque mountains (western Pyrenees, France): the use of coprophilous fungi t</w:t>
      </w:r>
      <w:r w:rsidRPr="001576EC">
        <w:rPr>
          <w:i/>
        </w:rPr>
        <w:t>o reconstruct pastoral activity</w:t>
      </w:r>
      <w:r>
        <w:t>,</w:t>
      </w:r>
      <w:r w:rsidR="00E63082" w:rsidRPr="00E63082">
        <w:t xml:space="preserve"> </w:t>
      </w:r>
      <w:r>
        <w:t>&lt;&lt;</w:t>
      </w:r>
      <w:r w:rsidR="00E63082" w:rsidRPr="00E63082">
        <w:t>Vegetation History and Archaeobotany</w:t>
      </w:r>
      <w:r>
        <w:t>&gt;&gt;,</w:t>
      </w:r>
      <w:r w:rsidR="00E63082" w:rsidRPr="00E63082">
        <w:t xml:space="preserve"> 19, </w:t>
      </w:r>
      <w:r>
        <w:t xml:space="preserve">pp. </w:t>
      </w:r>
      <w:r w:rsidR="00E63082" w:rsidRPr="00E63082">
        <w:t>391–408.</w:t>
      </w:r>
    </w:p>
    <w:p w:rsidR="00111938" w:rsidRPr="00111938" w:rsidRDefault="00111938" w:rsidP="003724E0">
      <w:pPr>
        <w:contextualSpacing/>
        <w:jc w:val="both"/>
      </w:pPr>
    </w:p>
    <w:p w:rsidR="00111938" w:rsidRPr="00D81676" w:rsidRDefault="001576EC" w:rsidP="003724E0">
      <w:pPr>
        <w:contextualSpacing/>
        <w:jc w:val="both"/>
      </w:pPr>
      <w:r w:rsidRPr="00D81676">
        <w:t>Doveri</w:t>
      </w:r>
      <w:r w:rsidR="00111938" w:rsidRPr="00D81676">
        <w:t xml:space="preserve"> F.</w:t>
      </w:r>
      <w:r w:rsidRPr="00D81676">
        <w:t>,</w:t>
      </w:r>
      <w:r w:rsidR="00111938" w:rsidRPr="00D81676">
        <w:t xml:space="preserve"> </w:t>
      </w:r>
      <w:r w:rsidRPr="00D81676">
        <w:t>(2007),</w:t>
      </w:r>
      <w:r w:rsidR="00111938" w:rsidRPr="00D81676">
        <w:t xml:space="preserve"> </w:t>
      </w:r>
      <w:r w:rsidR="00111938" w:rsidRPr="00D81676">
        <w:rPr>
          <w:i/>
        </w:rPr>
        <w:t xml:space="preserve">Fungi </w:t>
      </w:r>
      <w:proofErr w:type="spellStart"/>
      <w:r w:rsidR="00111938" w:rsidRPr="00D81676">
        <w:rPr>
          <w:i/>
        </w:rPr>
        <w:t>Fimicoli</w:t>
      </w:r>
      <w:proofErr w:type="spellEnd"/>
      <w:r w:rsidR="00111938" w:rsidRPr="00D81676">
        <w:rPr>
          <w:i/>
        </w:rPr>
        <w:t xml:space="preserve"> </w:t>
      </w:r>
      <w:proofErr w:type="spellStart"/>
      <w:r w:rsidR="00111938" w:rsidRPr="00D81676">
        <w:rPr>
          <w:i/>
        </w:rPr>
        <w:t>Italici</w:t>
      </w:r>
      <w:proofErr w:type="spellEnd"/>
      <w:r w:rsidR="00111938" w:rsidRPr="00D81676">
        <w:t xml:space="preserve">. </w:t>
      </w:r>
      <w:r w:rsidR="00111938" w:rsidRPr="00D81676">
        <w:rPr>
          <w:i/>
        </w:rPr>
        <w:t>A Guide to the Recognition of Basidiomycetes and Ascomyc</w:t>
      </w:r>
      <w:r w:rsidRPr="00D81676">
        <w:rPr>
          <w:i/>
        </w:rPr>
        <w:t>etes Living on Faecal Material</w:t>
      </w:r>
      <w:r w:rsidRPr="00D81676">
        <w:t>, Trento:</w:t>
      </w:r>
      <w:r w:rsidR="00D81676" w:rsidRPr="00D81676">
        <w:t xml:space="preserve"> </w:t>
      </w:r>
      <w:proofErr w:type="spellStart"/>
      <w:r w:rsidR="00D81676" w:rsidRPr="00D81676">
        <w:t>Associazione</w:t>
      </w:r>
      <w:proofErr w:type="spellEnd"/>
      <w:r w:rsidR="00D81676" w:rsidRPr="00D81676">
        <w:t xml:space="preserve"> </w:t>
      </w:r>
      <w:proofErr w:type="spellStart"/>
      <w:r w:rsidR="00D81676" w:rsidRPr="00D81676">
        <w:t>Micologica</w:t>
      </w:r>
      <w:proofErr w:type="spellEnd"/>
      <w:r w:rsidR="00D81676" w:rsidRPr="00D81676">
        <w:t xml:space="preserve"> </w:t>
      </w:r>
      <w:proofErr w:type="spellStart"/>
      <w:r w:rsidR="00D81676" w:rsidRPr="00D81676">
        <w:t>Bresadola</w:t>
      </w:r>
      <w:proofErr w:type="spellEnd"/>
      <w:r w:rsidR="00D81676" w:rsidRPr="00D81676">
        <w:t>.</w:t>
      </w:r>
    </w:p>
    <w:p w:rsidR="00D774BD" w:rsidRPr="00403791" w:rsidRDefault="00D774BD" w:rsidP="003724E0">
      <w:pPr>
        <w:autoSpaceDE w:val="0"/>
        <w:autoSpaceDN w:val="0"/>
        <w:adjustRightInd w:val="0"/>
        <w:jc w:val="both"/>
        <w:rPr>
          <w:rFonts w:eastAsiaTheme="minorHAnsi"/>
        </w:rPr>
      </w:pPr>
    </w:p>
    <w:p w:rsidR="00D774BD" w:rsidRPr="00111938" w:rsidRDefault="001576EC" w:rsidP="003724E0">
      <w:pPr>
        <w:autoSpaceDE w:val="0"/>
        <w:autoSpaceDN w:val="0"/>
        <w:adjustRightInd w:val="0"/>
        <w:jc w:val="both"/>
        <w:rPr>
          <w:rFonts w:eastAsiaTheme="minorHAnsi"/>
        </w:rPr>
      </w:pPr>
      <w:r>
        <w:rPr>
          <w:rFonts w:eastAsiaTheme="minorHAnsi"/>
        </w:rPr>
        <w:t xml:space="preserve">Finsinger W., </w:t>
      </w:r>
      <w:proofErr w:type="spellStart"/>
      <w:r>
        <w:rPr>
          <w:rFonts w:eastAsiaTheme="minorHAnsi"/>
        </w:rPr>
        <w:t>Tinner</w:t>
      </w:r>
      <w:proofErr w:type="spellEnd"/>
      <w:r>
        <w:rPr>
          <w:rFonts w:eastAsiaTheme="minorHAnsi"/>
        </w:rPr>
        <w:t xml:space="preserve"> W., van der </w:t>
      </w:r>
      <w:proofErr w:type="spellStart"/>
      <w:r>
        <w:rPr>
          <w:rFonts w:eastAsiaTheme="minorHAnsi"/>
        </w:rPr>
        <w:t>Knaap</w:t>
      </w:r>
      <w:proofErr w:type="spellEnd"/>
      <w:r>
        <w:rPr>
          <w:rFonts w:eastAsiaTheme="minorHAnsi"/>
        </w:rPr>
        <w:t xml:space="preserve"> W.O., </w:t>
      </w:r>
      <w:proofErr w:type="spellStart"/>
      <w:r>
        <w:rPr>
          <w:rFonts w:eastAsiaTheme="minorHAnsi"/>
        </w:rPr>
        <w:t>Ammann</w:t>
      </w:r>
      <w:proofErr w:type="spellEnd"/>
      <w:r w:rsidR="00D774BD" w:rsidRPr="00403791">
        <w:rPr>
          <w:rFonts w:eastAsiaTheme="minorHAnsi"/>
        </w:rPr>
        <w:t xml:space="preserve"> B., </w:t>
      </w:r>
      <w:r>
        <w:rPr>
          <w:rFonts w:eastAsiaTheme="minorHAnsi"/>
        </w:rPr>
        <w:t>(2006),</w:t>
      </w:r>
      <w:r w:rsidR="00D774BD" w:rsidRPr="00403791">
        <w:rPr>
          <w:rFonts w:eastAsiaTheme="minorHAnsi"/>
        </w:rPr>
        <w:t xml:space="preserve"> </w:t>
      </w:r>
      <w:r w:rsidR="00D774BD" w:rsidRPr="00F05C27">
        <w:rPr>
          <w:rFonts w:eastAsiaTheme="minorHAnsi"/>
          <w:i/>
        </w:rPr>
        <w:t xml:space="preserve">The expansion of hazel (Corylus </w:t>
      </w:r>
      <w:proofErr w:type="spellStart"/>
      <w:r w:rsidR="00D774BD" w:rsidRPr="00F05C27">
        <w:rPr>
          <w:rFonts w:eastAsiaTheme="minorHAnsi"/>
          <w:i/>
        </w:rPr>
        <w:t>avellana</w:t>
      </w:r>
      <w:proofErr w:type="spellEnd"/>
      <w:r w:rsidR="00D774BD" w:rsidRPr="00F05C27">
        <w:rPr>
          <w:rFonts w:eastAsiaTheme="minorHAnsi"/>
          <w:i/>
        </w:rPr>
        <w:t xml:space="preserve"> L.) in the southern Alps: a key for understanding its early Holocene history in Europe?</w:t>
      </w:r>
      <w:r w:rsidRPr="00F05C27">
        <w:rPr>
          <w:rFonts w:eastAsiaTheme="minorHAnsi"/>
          <w:i/>
        </w:rPr>
        <w:t>,</w:t>
      </w:r>
      <w:r w:rsidR="00D774BD" w:rsidRPr="00F05C27">
        <w:rPr>
          <w:rFonts w:eastAsiaTheme="minorHAnsi"/>
          <w:i/>
        </w:rPr>
        <w:t xml:space="preserve"> </w:t>
      </w:r>
      <w:r>
        <w:rPr>
          <w:rFonts w:eastAsiaTheme="minorHAnsi"/>
        </w:rPr>
        <w:t>&lt;&lt;</w:t>
      </w:r>
      <w:r w:rsidR="00D774BD" w:rsidRPr="00111938">
        <w:rPr>
          <w:rFonts w:eastAsiaTheme="minorHAnsi"/>
        </w:rPr>
        <w:t>Quaternary Science Reviews</w:t>
      </w:r>
      <w:r>
        <w:rPr>
          <w:rFonts w:eastAsiaTheme="minorHAnsi"/>
        </w:rPr>
        <w:t>&gt;&gt;,</w:t>
      </w:r>
      <w:r w:rsidR="00D774BD" w:rsidRPr="00111938">
        <w:rPr>
          <w:rFonts w:eastAsiaTheme="minorHAnsi"/>
        </w:rPr>
        <w:t xml:space="preserve"> 25, </w:t>
      </w:r>
      <w:r>
        <w:rPr>
          <w:rFonts w:eastAsiaTheme="minorHAnsi"/>
        </w:rPr>
        <w:t xml:space="preserve">pp. </w:t>
      </w:r>
      <w:r w:rsidR="00D774BD" w:rsidRPr="00111938">
        <w:rPr>
          <w:rFonts w:eastAsiaTheme="minorHAnsi"/>
        </w:rPr>
        <w:t>612–631.</w:t>
      </w:r>
    </w:p>
    <w:p w:rsidR="00111938" w:rsidRPr="00111938" w:rsidRDefault="00111938" w:rsidP="003724E0">
      <w:pPr>
        <w:spacing w:after="240"/>
        <w:contextualSpacing/>
        <w:jc w:val="both"/>
      </w:pPr>
    </w:p>
    <w:p w:rsidR="00111938" w:rsidRPr="00111938" w:rsidRDefault="00F05C27" w:rsidP="003724E0">
      <w:pPr>
        <w:spacing w:after="240"/>
        <w:contextualSpacing/>
        <w:jc w:val="both"/>
      </w:pPr>
      <w:proofErr w:type="spellStart"/>
      <w:r>
        <w:t>García</w:t>
      </w:r>
      <w:proofErr w:type="spellEnd"/>
      <w:r>
        <w:t xml:space="preserve"> D., </w:t>
      </w:r>
      <w:proofErr w:type="spellStart"/>
      <w:r>
        <w:t>Stchigel</w:t>
      </w:r>
      <w:proofErr w:type="spellEnd"/>
      <w:r>
        <w:t xml:space="preserve"> A.M., </w:t>
      </w:r>
      <w:proofErr w:type="spellStart"/>
      <w:r>
        <w:t>Guarro</w:t>
      </w:r>
      <w:proofErr w:type="spellEnd"/>
      <w:r w:rsidR="00111938" w:rsidRPr="00111938">
        <w:t xml:space="preserve"> J., </w:t>
      </w:r>
      <w:r>
        <w:t>(2004),</w:t>
      </w:r>
      <w:r w:rsidR="00111938" w:rsidRPr="00111938">
        <w:t xml:space="preserve"> </w:t>
      </w:r>
      <w:r w:rsidR="00111938" w:rsidRPr="00F05C27">
        <w:rPr>
          <w:i/>
        </w:rPr>
        <w:t xml:space="preserve">Two new species of </w:t>
      </w:r>
      <w:proofErr w:type="spellStart"/>
      <w:r w:rsidR="00111938" w:rsidRPr="00F05C27">
        <w:rPr>
          <w:i/>
        </w:rPr>
        <w:t>Sphaerodes</w:t>
      </w:r>
      <w:proofErr w:type="spellEnd"/>
      <w:r w:rsidRPr="00F05C27">
        <w:rPr>
          <w:i/>
        </w:rPr>
        <w:t xml:space="preserve"> from Spanish soils</w:t>
      </w:r>
      <w:r>
        <w:t>, &lt;&lt;</w:t>
      </w:r>
      <w:r w:rsidR="00111938" w:rsidRPr="00111938">
        <w:rPr>
          <w:iCs/>
        </w:rPr>
        <w:t>Studies in Mycology</w:t>
      </w:r>
      <w:r>
        <w:rPr>
          <w:iCs/>
        </w:rPr>
        <w:t>&gt;&gt;,</w:t>
      </w:r>
      <w:r w:rsidR="00111938" w:rsidRPr="00111938">
        <w:t xml:space="preserve"> </w:t>
      </w:r>
      <w:r w:rsidR="00111938" w:rsidRPr="00111938">
        <w:rPr>
          <w:iCs/>
        </w:rPr>
        <w:t>50</w:t>
      </w:r>
      <w:r w:rsidR="00111938" w:rsidRPr="00111938">
        <w:t xml:space="preserve">, </w:t>
      </w:r>
      <w:r>
        <w:t xml:space="preserve">pp. </w:t>
      </w:r>
      <w:r w:rsidR="00111938" w:rsidRPr="00111938">
        <w:t>63-68.</w:t>
      </w:r>
    </w:p>
    <w:p w:rsidR="00A17FE6" w:rsidRPr="00111938" w:rsidRDefault="00A17FE6" w:rsidP="003724E0">
      <w:pPr>
        <w:contextualSpacing/>
        <w:jc w:val="both"/>
      </w:pPr>
    </w:p>
    <w:p w:rsidR="00FB5D25" w:rsidRPr="00D81676" w:rsidRDefault="00F05C27" w:rsidP="003724E0">
      <w:pPr>
        <w:contextualSpacing/>
        <w:jc w:val="both"/>
      </w:pPr>
      <w:r w:rsidRPr="00D81676">
        <w:t xml:space="preserve">Giguet-Covex C., </w:t>
      </w:r>
      <w:proofErr w:type="spellStart"/>
      <w:r w:rsidRPr="00D81676">
        <w:t>Pansu</w:t>
      </w:r>
      <w:proofErr w:type="spellEnd"/>
      <w:r w:rsidRPr="00D81676">
        <w:t xml:space="preserve"> J., Arnaud F., Rey P.</w:t>
      </w:r>
      <w:r w:rsidR="00FB5D25" w:rsidRPr="00D81676">
        <w:t xml:space="preserve">J., </w:t>
      </w:r>
      <w:proofErr w:type="spellStart"/>
      <w:r w:rsidR="00FB5D25" w:rsidRPr="00D81676">
        <w:t>Griggo</w:t>
      </w:r>
      <w:proofErr w:type="spellEnd"/>
      <w:r w:rsidRPr="00D81676">
        <w:t xml:space="preserve"> C., </w:t>
      </w:r>
      <w:proofErr w:type="spellStart"/>
      <w:r w:rsidRPr="00D81676">
        <w:t>Gielly</w:t>
      </w:r>
      <w:proofErr w:type="spellEnd"/>
      <w:r w:rsidRPr="00D81676">
        <w:t xml:space="preserve"> L., </w:t>
      </w:r>
      <w:proofErr w:type="spellStart"/>
      <w:r w:rsidRPr="00D81676">
        <w:t>Domaizon</w:t>
      </w:r>
      <w:proofErr w:type="spellEnd"/>
      <w:r w:rsidRPr="00D81676">
        <w:t xml:space="preserve"> I., </w:t>
      </w:r>
      <w:proofErr w:type="spellStart"/>
      <w:r w:rsidRPr="00D81676">
        <w:t>Coissac</w:t>
      </w:r>
      <w:proofErr w:type="spellEnd"/>
      <w:r w:rsidRPr="00D81676">
        <w:t xml:space="preserve"> E., David F., Choler F., </w:t>
      </w:r>
      <w:proofErr w:type="spellStart"/>
      <w:r w:rsidRPr="00D81676">
        <w:t>Poulenard</w:t>
      </w:r>
      <w:proofErr w:type="spellEnd"/>
      <w:r w:rsidRPr="00D81676">
        <w:t xml:space="preserve"> J., </w:t>
      </w:r>
      <w:proofErr w:type="spellStart"/>
      <w:r w:rsidRPr="00D81676">
        <w:t>Taberlet</w:t>
      </w:r>
      <w:proofErr w:type="spellEnd"/>
      <w:r w:rsidR="00FB5D25" w:rsidRPr="00D81676">
        <w:t xml:space="preserve"> P., </w:t>
      </w:r>
      <w:r w:rsidRPr="00D81676">
        <w:t>(2014),</w:t>
      </w:r>
      <w:r w:rsidR="00FB5D25" w:rsidRPr="00D81676">
        <w:t xml:space="preserve"> Long livestock farming history and human landscape shaping revealed by lake sediment DNA</w:t>
      </w:r>
      <w:r w:rsidR="00D81676" w:rsidRPr="00D81676">
        <w:t>, &lt;&lt;Nature</w:t>
      </w:r>
      <w:r w:rsidRPr="00D81676">
        <w:t xml:space="preserve"> Commun</w:t>
      </w:r>
      <w:r w:rsidR="00D81676" w:rsidRPr="00D81676">
        <w:t>ications</w:t>
      </w:r>
      <w:r w:rsidRPr="00D81676">
        <w:t>&gt;&gt;,</w:t>
      </w:r>
      <w:r w:rsidR="00FB5D25" w:rsidRPr="00D81676">
        <w:t xml:space="preserve"> 5:3211doi: 10.1038/ncomms4211.</w:t>
      </w:r>
    </w:p>
    <w:p w:rsidR="005456E8" w:rsidRPr="00403791" w:rsidRDefault="005456E8" w:rsidP="003724E0">
      <w:pPr>
        <w:contextualSpacing/>
        <w:jc w:val="both"/>
      </w:pPr>
    </w:p>
    <w:p w:rsidR="005456E8" w:rsidRPr="00403791" w:rsidRDefault="005456E8" w:rsidP="003724E0">
      <w:pPr>
        <w:jc w:val="both"/>
      </w:pPr>
      <w:r w:rsidRPr="00403791">
        <w:lastRenderedPageBreak/>
        <w:t>Grimm E</w:t>
      </w:r>
      <w:r w:rsidR="00F05C27">
        <w:t>.</w:t>
      </w:r>
      <w:r w:rsidRPr="00403791">
        <w:t>C</w:t>
      </w:r>
      <w:r w:rsidR="00F05C27">
        <w:t>.,</w:t>
      </w:r>
      <w:r w:rsidRPr="00403791">
        <w:t xml:space="preserve"> (1991-2011)</w:t>
      </w:r>
      <w:r w:rsidR="00F05C27">
        <w:t xml:space="preserve">, </w:t>
      </w:r>
      <w:r w:rsidR="00F05C27" w:rsidRPr="00F05C27">
        <w:rPr>
          <w:i/>
        </w:rPr>
        <w:t>Tilia v1.7.16</w:t>
      </w:r>
      <w:r w:rsidR="00F05C27">
        <w:t>,</w:t>
      </w:r>
      <w:r w:rsidRPr="00403791">
        <w:t xml:space="preserve"> Springfield</w:t>
      </w:r>
      <w:r w:rsidR="00F05C27">
        <w:t>:</w:t>
      </w:r>
      <w:r w:rsidRPr="00403791">
        <w:t xml:space="preserve"> Illinois State Museum</w:t>
      </w:r>
      <w:r w:rsidR="00F05C27">
        <w:t>.</w:t>
      </w:r>
      <w:r w:rsidRPr="00403791">
        <w:t xml:space="preserve"> </w:t>
      </w:r>
    </w:p>
    <w:p w:rsidR="00FB5D25" w:rsidRPr="006605F1" w:rsidRDefault="00FB5D25" w:rsidP="003724E0">
      <w:pPr>
        <w:jc w:val="both"/>
      </w:pPr>
    </w:p>
    <w:p w:rsidR="006605F1" w:rsidRPr="006605F1" w:rsidRDefault="00F05C27" w:rsidP="003724E0">
      <w:pPr>
        <w:autoSpaceDE w:val="0"/>
        <w:autoSpaceDN w:val="0"/>
        <w:adjustRightInd w:val="0"/>
        <w:jc w:val="both"/>
        <w:rPr>
          <w:rFonts w:eastAsiaTheme="minorHAnsi"/>
          <w:bCs/>
        </w:rPr>
      </w:pPr>
      <w:r>
        <w:t>Guido</w:t>
      </w:r>
      <w:r w:rsidR="006605F1" w:rsidRPr="006605F1">
        <w:t xml:space="preserve"> M</w:t>
      </w:r>
      <w:r>
        <w:t>.</w:t>
      </w:r>
      <w:r w:rsidR="006605F1" w:rsidRPr="006605F1">
        <w:t>A</w:t>
      </w:r>
      <w:r>
        <w:t>., Menozzi</w:t>
      </w:r>
      <w:r w:rsidR="006605F1" w:rsidRPr="006605F1">
        <w:t xml:space="preserve"> B</w:t>
      </w:r>
      <w:r>
        <w:t>.</w:t>
      </w:r>
      <w:r w:rsidR="006605F1" w:rsidRPr="006605F1">
        <w:t>I</w:t>
      </w:r>
      <w:r>
        <w:t>., Bellini</w:t>
      </w:r>
      <w:r w:rsidR="006605F1" w:rsidRPr="006605F1">
        <w:t xml:space="preserve"> C</w:t>
      </w:r>
      <w:r>
        <w:t xml:space="preserve">., </w:t>
      </w:r>
      <w:proofErr w:type="spellStart"/>
      <w:r>
        <w:t>Placereani</w:t>
      </w:r>
      <w:proofErr w:type="spellEnd"/>
      <w:r w:rsidR="006605F1" w:rsidRPr="006605F1">
        <w:t xml:space="preserve"> S</w:t>
      </w:r>
      <w:r>
        <w:t>., Montanari</w:t>
      </w:r>
      <w:r w:rsidR="006605F1" w:rsidRPr="006605F1">
        <w:t xml:space="preserve"> C.</w:t>
      </w:r>
      <w:r>
        <w:t>,</w:t>
      </w:r>
      <w:r w:rsidR="006605F1" w:rsidRPr="006605F1">
        <w:t xml:space="preserve"> </w:t>
      </w:r>
      <w:r>
        <w:t>(</w:t>
      </w:r>
      <w:r w:rsidR="006605F1">
        <w:t>2013</w:t>
      </w:r>
      <w:r>
        <w:t>),</w:t>
      </w:r>
      <w:r w:rsidR="006605F1">
        <w:t xml:space="preserve"> </w:t>
      </w:r>
      <w:r w:rsidR="006605F1" w:rsidRPr="00F05C27">
        <w:rPr>
          <w:rFonts w:eastAsiaTheme="minorHAnsi"/>
          <w:bCs/>
          <w:i/>
        </w:rPr>
        <w:t>A palynological contribution to the environmental archaeology of a Mediterranean mountain wetland (North West Apennines, Italy)</w:t>
      </w:r>
      <w:r w:rsidRPr="00F05C27">
        <w:rPr>
          <w:rFonts w:eastAsiaTheme="minorHAnsi"/>
          <w:bCs/>
          <w:i/>
        </w:rPr>
        <w:t xml:space="preserve">, </w:t>
      </w:r>
      <w:r>
        <w:rPr>
          <w:rFonts w:eastAsiaTheme="minorHAnsi"/>
          <w:bCs/>
        </w:rPr>
        <w:t>&lt;&lt;</w:t>
      </w:r>
      <w:r w:rsidR="006605F1">
        <w:rPr>
          <w:rFonts w:eastAsiaTheme="minorHAnsi"/>
          <w:bCs/>
        </w:rPr>
        <w:t>The Holocene</w:t>
      </w:r>
      <w:r>
        <w:rPr>
          <w:rFonts w:eastAsiaTheme="minorHAnsi"/>
          <w:bCs/>
        </w:rPr>
        <w:t>&gt;&gt;,</w:t>
      </w:r>
      <w:r w:rsidR="006605F1">
        <w:rPr>
          <w:rFonts w:eastAsiaTheme="minorHAnsi"/>
          <w:bCs/>
        </w:rPr>
        <w:t xml:space="preserve"> 11, </w:t>
      </w:r>
      <w:r>
        <w:rPr>
          <w:rFonts w:eastAsiaTheme="minorHAnsi"/>
          <w:bCs/>
        </w:rPr>
        <w:t xml:space="preserve">pp. </w:t>
      </w:r>
      <w:r w:rsidR="006605F1">
        <w:rPr>
          <w:rFonts w:eastAsiaTheme="minorHAnsi"/>
          <w:bCs/>
        </w:rPr>
        <w:t>1517-1527.</w:t>
      </w:r>
    </w:p>
    <w:p w:rsidR="006605F1" w:rsidRPr="00403791" w:rsidRDefault="006605F1" w:rsidP="003724E0">
      <w:pPr>
        <w:jc w:val="both"/>
      </w:pPr>
    </w:p>
    <w:p w:rsidR="00025B1A" w:rsidRDefault="00F05C27" w:rsidP="003724E0">
      <w:pPr>
        <w:jc w:val="both"/>
      </w:pPr>
      <w:r>
        <w:t xml:space="preserve">Jalut G., </w:t>
      </w:r>
      <w:proofErr w:type="spellStart"/>
      <w:r>
        <w:t>Dedoubat</w:t>
      </w:r>
      <w:proofErr w:type="spellEnd"/>
      <w:r>
        <w:t xml:space="preserve"> J.J., </w:t>
      </w:r>
      <w:proofErr w:type="spellStart"/>
      <w:r>
        <w:t>Fontugne</w:t>
      </w:r>
      <w:proofErr w:type="spellEnd"/>
      <w:r>
        <w:t xml:space="preserve"> M., Otto</w:t>
      </w:r>
      <w:r w:rsidR="00FB5D25" w:rsidRPr="00403791">
        <w:t xml:space="preserve"> T., </w:t>
      </w:r>
      <w:r>
        <w:t>(2009),</w:t>
      </w:r>
      <w:r w:rsidR="00FB5D25" w:rsidRPr="00403791">
        <w:t xml:space="preserve"> </w:t>
      </w:r>
      <w:r w:rsidR="00FB5D25" w:rsidRPr="00F05C27">
        <w:rPr>
          <w:i/>
        </w:rPr>
        <w:t>Holocene circum-Medi</w:t>
      </w:r>
      <w:r w:rsidR="00FB5D25" w:rsidRPr="00F05C27">
        <w:rPr>
          <w:i/>
        </w:rPr>
        <w:softHyphen/>
        <w:t xml:space="preserve">terranean vegetation changes: </w:t>
      </w:r>
      <w:proofErr w:type="spellStart"/>
      <w:r w:rsidRPr="00F05C27">
        <w:rPr>
          <w:i/>
          <w:lang w:val="fr-FR"/>
        </w:rPr>
        <w:t>c</w:t>
      </w:r>
      <w:r w:rsidR="00FB5D25" w:rsidRPr="00F05C27">
        <w:rPr>
          <w:i/>
          <w:lang w:val="fr-FR"/>
        </w:rPr>
        <w:t>limate</w:t>
      </w:r>
      <w:proofErr w:type="spellEnd"/>
      <w:r w:rsidR="00FB5D25" w:rsidRPr="00F05C27">
        <w:rPr>
          <w:i/>
          <w:lang w:val="fr-FR"/>
        </w:rPr>
        <w:t xml:space="preserve"> </w:t>
      </w:r>
      <w:proofErr w:type="spellStart"/>
      <w:r w:rsidR="00FB5D25" w:rsidRPr="00F05C27">
        <w:rPr>
          <w:i/>
          <w:lang w:val="fr-FR"/>
        </w:rPr>
        <w:t>forcin</w:t>
      </w:r>
      <w:proofErr w:type="spellEnd"/>
      <w:r w:rsidRPr="00F05C27">
        <w:rPr>
          <w:i/>
        </w:rPr>
        <w:t>g and human impact</w:t>
      </w:r>
      <w:r>
        <w:t>, &lt;&lt;</w:t>
      </w:r>
      <w:r w:rsidR="00FB5D25" w:rsidRPr="00403791">
        <w:t>Quater</w:t>
      </w:r>
      <w:r w:rsidR="00FB5D25" w:rsidRPr="00403791">
        <w:softHyphen/>
        <w:t>nary International</w:t>
      </w:r>
      <w:r>
        <w:t>&gt;&gt;,</w:t>
      </w:r>
      <w:r w:rsidR="00FB5D25" w:rsidRPr="00403791">
        <w:t xml:space="preserve"> 200, </w:t>
      </w:r>
      <w:r w:rsidRPr="00025B1A">
        <w:t xml:space="preserve">pp. </w:t>
      </w:r>
      <w:r w:rsidR="00FB5D25" w:rsidRPr="00025B1A">
        <w:t>4–18.</w:t>
      </w:r>
    </w:p>
    <w:p w:rsidR="00D81676" w:rsidRDefault="00D81676" w:rsidP="003724E0">
      <w:pPr>
        <w:jc w:val="both"/>
      </w:pPr>
    </w:p>
    <w:p w:rsidR="00025B1A" w:rsidRPr="00AD12D9" w:rsidRDefault="00025B1A" w:rsidP="003724E0">
      <w:pPr>
        <w:pStyle w:val="NormalWeb"/>
        <w:spacing w:before="0" w:beforeAutospacing="0" w:after="0" w:afterAutospacing="0"/>
        <w:jc w:val="both"/>
      </w:pPr>
      <w:r w:rsidRPr="00AD12D9">
        <w:t xml:space="preserve">Krug J.C., Benny G.L., Keller H.W., (2004), </w:t>
      </w:r>
      <w:r w:rsidRPr="00AD12D9">
        <w:rPr>
          <w:i/>
        </w:rPr>
        <w:t>Coprophilous fungi</w:t>
      </w:r>
      <w:r w:rsidRPr="00AD12D9">
        <w:t xml:space="preserve">, in </w:t>
      </w:r>
      <w:r w:rsidRPr="00AD12D9">
        <w:rPr>
          <w:i/>
        </w:rPr>
        <w:t>Biodiversity of Fungi, Inventory and Monitoring Methods</w:t>
      </w:r>
      <w:r w:rsidRPr="00AD12D9">
        <w:t>, edited by M. Foster, Amsterdam</w:t>
      </w:r>
      <w:r w:rsidR="00AD12D9" w:rsidRPr="00AD12D9">
        <w:t>: Academic Press</w:t>
      </w:r>
      <w:r w:rsidRPr="00AD12D9">
        <w:t>, pp. 467-499.</w:t>
      </w:r>
    </w:p>
    <w:p w:rsidR="00F946C8" w:rsidRPr="00025B1A" w:rsidRDefault="00F946C8" w:rsidP="003724E0">
      <w:pPr>
        <w:jc w:val="both"/>
      </w:pPr>
    </w:p>
    <w:p w:rsidR="00F946C8" w:rsidRPr="00AD12D9" w:rsidRDefault="00F946C8" w:rsidP="003724E0">
      <w:pPr>
        <w:jc w:val="both"/>
      </w:pPr>
      <w:r w:rsidRPr="00AD12D9">
        <w:t>Lauterbach S</w:t>
      </w:r>
      <w:r w:rsidR="00F05C27" w:rsidRPr="00AD12D9">
        <w:t>.</w:t>
      </w:r>
      <w:r w:rsidRPr="00AD12D9">
        <w:t xml:space="preserve">, </w:t>
      </w:r>
      <w:proofErr w:type="spellStart"/>
      <w:r w:rsidRPr="00AD12D9">
        <w:t>Chapron</w:t>
      </w:r>
      <w:proofErr w:type="spellEnd"/>
      <w:r w:rsidRPr="00AD12D9">
        <w:t xml:space="preserve"> E</w:t>
      </w:r>
      <w:r w:rsidR="00F05C27" w:rsidRPr="00AD12D9">
        <w:t>.</w:t>
      </w:r>
      <w:r w:rsidRPr="00AD12D9">
        <w:t xml:space="preserve">, </w:t>
      </w:r>
      <w:proofErr w:type="spellStart"/>
      <w:r w:rsidRPr="00AD12D9">
        <w:t>Brauer</w:t>
      </w:r>
      <w:proofErr w:type="spellEnd"/>
      <w:r w:rsidRPr="00AD12D9">
        <w:t xml:space="preserve"> A</w:t>
      </w:r>
      <w:r w:rsidR="00F05C27" w:rsidRPr="00AD12D9">
        <w:t>.</w:t>
      </w:r>
      <w:r w:rsidRPr="00AD12D9">
        <w:t xml:space="preserve">, </w:t>
      </w:r>
      <w:proofErr w:type="spellStart"/>
      <w:r w:rsidRPr="00AD12D9">
        <w:t>Hüls</w:t>
      </w:r>
      <w:proofErr w:type="spellEnd"/>
      <w:r w:rsidRPr="00AD12D9">
        <w:t xml:space="preserve"> M</w:t>
      </w:r>
      <w:r w:rsidR="00F05C27" w:rsidRPr="00AD12D9">
        <w:t>.</w:t>
      </w:r>
      <w:r w:rsidRPr="00AD12D9">
        <w:t xml:space="preserve">, </w:t>
      </w:r>
      <w:proofErr w:type="spellStart"/>
      <w:r w:rsidRPr="00AD12D9">
        <w:t>Gilli</w:t>
      </w:r>
      <w:proofErr w:type="spellEnd"/>
      <w:r w:rsidRPr="00AD12D9">
        <w:t xml:space="preserve"> A</w:t>
      </w:r>
      <w:r w:rsidR="00F05C27" w:rsidRPr="00AD12D9">
        <w:t>.</w:t>
      </w:r>
      <w:r w:rsidRPr="00AD12D9">
        <w:t>, Arnaud F</w:t>
      </w:r>
      <w:r w:rsidR="00F05C27" w:rsidRPr="00AD12D9">
        <w:t>.</w:t>
      </w:r>
      <w:r w:rsidRPr="00AD12D9">
        <w:t xml:space="preserve">, </w:t>
      </w:r>
      <w:proofErr w:type="spellStart"/>
      <w:r w:rsidRPr="00AD12D9">
        <w:t>Piccin</w:t>
      </w:r>
      <w:proofErr w:type="spellEnd"/>
      <w:r w:rsidRPr="00AD12D9">
        <w:t xml:space="preserve"> A</w:t>
      </w:r>
      <w:r w:rsidR="00F05C27" w:rsidRPr="00AD12D9">
        <w:t>.</w:t>
      </w:r>
      <w:r w:rsidRPr="00AD12D9">
        <w:t xml:space="preserve">, </w:t>
      </w:r>
      <w:proofErr w:type="spellStart"/>
      <w:r w:rsidRPr="00AD12D9">
        <w:t>Nomade</w:t>
      </w:r>
      <w:proofErr w:type="spellEnd"/>
      <w:r w:rsidRPr="00AD12D9">
        <w:t xml:space="preserve"> J</w:t>
      </w:r>
      <w:r w:rsidR="00F05C27" w:rsidRPr="00AD12D9">
        <w:t>.</w:t>
      </w:r>
      <w:r w:rsidRPr="00AD12D9">
        <w:t xml:space="preserve">, </w:t>
      </w:r>
      <w:proofErr w:type="spellStart"/>
      <w:r w:rsidRPr="00AD12D9">
        <w:t>Desmet</w:t>
      </w:r>
      <w:proofErr w:type="spellEnd"/>
      <w:r w:rsidRPr="00AD12D9">
        <w:t xml:space="preserve"> M</w:t>
      </w:r>
      <w:r w:rsidR="00F05C27" w:rsidRPr="00AD12D9">
        <w:t>.</w:t>
      </w:r>
      <w:r w:rsidRPr="00AD12D9">
        <w:t xml:space="preserve">, von </w:t>
      </w:r>
      <w:proofErr w:type="spellStart"/>
      <w:r w:rsidRPr="00AD12D9">
        <w:t>Grafenstein</w:t>
      </w:r>
      <w:proofErr w:type="spellEnd"/>
      <w:r w:rsidRPr="00AD12D9">
        <w:t xml:space="preserve"> U</w:t>
      </w:r>
      <w:r w:rsidR="00F05C27" w:rsidRPr="00AD12D9">
        <w:t>.</w:t>
      </w:r>
      <w:r w:rsidRPr="00AD12D9">
        <w:t xml:space="preserve">, </w:t>
      </w:r>
      <w:proofErr w:type="spellStart"/>
      <w:r w:rsidRPr="00AD12D9">
        <w:t>DecLakes</w:t>
      </w:r>
      <w:proofErr w:type="spellEnd"/>
      <w:r w:rsidRPr="00AD12D9">
        <w:t xml:space="preserve"> Participants</w:t>
      </w:r>
      <w:r w:rsidR="00F05C27" w:rsidRPr="00AD12D9">
        <w:t>,</w:t>
      </w:r>
      <w:r w:rsidRPr="00AD12D9">
        <w:t xml:space="preserve"> </w:t>
      </w:r>
      <w:r w:rsidR="00F05C27" w:rsidRPr="00AD12D9">
        <w:t>(</w:t>
      </w:r>
      <w:r w:rsidRPr="00AD12D9">
        <w:t>2012</w:t>
      </w:r>
      <w:r w:rsidR="00F05C27" w:rsidRPr="00AD12D9">
        <w:t>),</w:t>
      </w:r>
      <w:r w:rsidRPr="00AD12D9">
        <w:t xml:space="preserve"> </w:t>
      </w:r>
      <w:r w:rsidRPr="00AD12D9">
        <w:rPr>
          <w:i/>
        </w:rPr>
        <w:t>A sedimentary record of Holocene surface runoff events and earthquake activity from La</w:t>
      </w:r>
      <w:r w:rsidR="00F05C27" w:rsidRPr="00AD12D9">
        <w:rPr>
          <w:i/>
        </w:rPr>
        <w:t xml:space="preserve">ke </w:t>
      </w:r>
      <w:proofErr w:type="spellStart"/>
      <w:r w:rsidR="00F05C27" w:rsidRPr="00AD12D9">
        <w:rPr>
          <w:i/>
        </w:rPr>
        <w:t>Iseo</w:t>
      </w:r>
      <w:proofErr w:type="spellEnd"/>
      <w:r w:rsidR="00F05C27" w:rsidRPr="00AD12D9">
        <w:rPr>
          <w:i/>
        </w:rPr>
        <w:t xml:space="preserve"> (Southern Alps, Italy),</w:t>
      </w:r>
      <w:r w:rsidR="00F05C27" w:rsidRPr="00AD12D9">
        <w:t xml:space="preserve"> &lt;&lt;</w:t>
      </w:r>
      <w:r w:rsidRPr="00AD12D9">
        <w:t>The Holocene</w:t>
      </w:r>
      <w:r w:rsidR="00F05C27" w:rsidRPr="00AD12D9">
        <w:t>&gt;&gt;,</w:t>
      </w:r>
      <w:r w:rsidRPr="00AD12D9">
        <w:t xml:space="preserve"> </w:t>
      </w:r>
      <w:r w:rsidR="00AD12D9" w:rsidRPr="00AD12D9">
        <w:t xml:space="preserve">22(7), </w:t>
      </w:r>
      <w:r w:rsidR="00AD12D9">
        <w:t xml:space="preserve">pp. </w:t>
      </w:r>
      <w:r w:rsidR="00AD12D9" w:rsidRPr="00AD12D9">
        <w:t>749-760</w:t>
      </w:r>
      <w:r w:rsidRPr="00AD12D9">
        <w:t xml:space="preserve">. </w:t>
      </w:r>
    </w:p>
    <w:p w:rsidR="00E21759" w:rsidRDefault="00E21759" w:rsidP="003724E0">
      <w:pPr>
        <w:jc w:val="both"/>
      </w:pPr>
    </w:p>
    <w:p w:rsidR="00A75E0B" w:rsidRPr="00403791" w:rsidRDefault="00A75E0B" w:rsidP="003724E0">
      <w:pPr>
        <w:jc w:val="both"/>
        <w:rPr>
          <w:lang w:val="it-IT"/>
        </w:rPr>
      </w:pPr>
      <w:r>
        <w:rPr>
          <w:lang w:val="it-IT"/>
        </w:rPr>
        <w:t>Losacco</w:t>
      </w:r>
      <w:r w:rsidRPr="00403791">
        <w:rPr>
          <w:lang w:val="it-IT"/>
        </w:rPr>
        <w:t xml:space="preserve"> U., </w:t>
      </w:r>
      <w:r>
        <w:rPr>
          <w:lang w:val="it-IT"/>
        </w:rPr>
        <w:t>(1982),</w:t>
      </w:r>
      <w:r w:rsidRPr="00403791">
        <w:rPr>
          <w:lang w:val="it-IT"/>
        </w:rPr>
        <w:t xml:space="preserve"> </w:t>
      </w:r>
      <w:r w:rsidRPr="00057C0B">
        <w:rPr>
          <w:i/>
          <w:lang w:val="it-IT"/>
        </w:rPr>
        <w:t>Gli antiche ghiacciaci dell’Appennino settentrionale</w:t>
      </w:r>
      <w:r w:rsidRPr="00403791">
        <w:rPr>
          <w:lang w:val="it-IT"/>
        </w:rPr>
        <w:t xml:space="preserve">, </w:t>
      </w:r>
      <w:r>
        <w:rPr>
          <w:lang w:val="it-IT"/>
        </w:rPr>
        <w:t>&lt;&lt;</w:t>
      </w:r>
      <w:r w:rsidRPr="00403791">
        <w:rPr>
          <w:lang w:val="it-IT"/>
        </w:rPr>
        <w:t>Atti della societa dei Naturalisti e Matematici di Modena</w:t>
      </w:r>
      <w:r>
        <w:rPr>
          <w:lang w:val="it-IT"/>
        </w:rPr>
        <w:t>&gt;&gt;,</w:t>
      </w:r>
      <w:r w:rsidRPr="00403791">
        <w:rPr>
          <w:lang w:val="it-IT"/>
        </w:rPr>
        <w:t xml:space="preserve"> 113, </w:t>
      </w:r>
      <w:r>
        <w:rPr>
          <w:lang w:val="it-IT"/>
        </w:rPr>
        <w:t xml:space="preserve">pp. </w:t>
      </w:r>
      <w:r w:rsidRPr="00403791">
        <w:rPr>
          <w:lang w:val="it-IT"/>
        </w:rPr>
        <w:t>1-224.</w:t>
      </w:r>
    </w:p>
    <w:p w:rsidR="00A75E0B" w:rsidRPr="00403791" w:rsidRDefault="00A75E0B" w:rsidP="003724E0">
      <w:pPr>
        <w:jc w:val="both"/>
      </w:pPr>
    </w:p>
    <w:p w:rsidR="00E21759" w:rsidRPr="00403791" w:rsidRDefault="00E21759" w:rsidP="003724E0">
      <w:pPr>
        <w:jc w:val="both"/>
      </w:pPr>
      <w:r w:rsidRPr="00403791">
        <w:t>Lowe J</w:t>
      </w:r>
      <w:r w:rsidR="00A16103">
        <w:t>.</w:t>
      </w:r>
      <w:r w:rsidRPr="00403791">
        <w:t>J</w:t>
      </w:r>
      <w:r w:rsidR="00A16103">
        <w:t>.,</w:t>
      </w:r>
      <w:r w:rsidRPr="00403791">
        <w:t xml:space="preserve"> (1992)</w:t>
      </w:r>
      <w:r w:rsidR="00A16103">
        <w:t>,</w:t>
      </w:r>
      <w:r w:rsidRPr="00403791">
        <w:t xml:space="preserve"> </w:t>
      </w:r>
      <w:r w:rsidRPr="001E46BC">
        <w:rPr>
          <w:i/>
        </w:rPr>
        <w:t>Lateglacial and early Holocene lake sediments from the northern Apennines, Italy - pollen strat</w:t>
      </w:r>
      <w:r w:rsidR="001E46BC" w:rsidRPr="001E46BC">
        <w:rPr>
          <w:i/>
        </w:rPr>
        <w:t>igraphy and radiocarbon dating</w:t>
      </w:r>
      <w:r w:rsidR="001E46BC">
        <w:t>, &lt;&lt;</w:t>
      </w:r>
      <w:r w:rsidRPr="00403791">
        <w:t>Boreas</w:t>
      </w:r>
      <w:r w:rsidR="001E46BC">
        <w:t xml:space="preserve">&gt;&gt;, 21, pp. </w:t>
      </w:r>
      <w:r w:rsidRPr="00403791">
        <w:t>193-208</w:t>
      </w:r>
      <w:r w:rsidR="001E46BC">
        <w:t>.</w:t>
      </w:r>
    </w:p>
    <w:p w:rsidR="00E21759" w:rsidRPr="00403791" w:rsidRDefault="00E21759" w:rsidP="003724E0">
      <w:pPr>
        <w:jc w:val="both"/>
      </w:pPr>
    </w:p>
    <w:p w:rsidR="00E21759" w:rsidRPr="00403791" w:rsidRDefault="00E21759" w:rsidP="003724E0">
      <w:pPr>
        <w:jc w:val="both"/>
      </w:pPr>
      <w:r w:rsidRPr="00403791">
        <w:t>Lowe J</w:t>
      </w:r>
      <w:r w:rsidR="001E46BC">
        <w:t>.</w:t>
      </w:r>
      <w:r w:rsidRPr="00403791">
        <w:t>J</w:t>
      </w:r>
      <w:r w:rsidR="001E46BC">
        <w:t>.</w:t>
      </w:r>
      <w:r w:rsidRPr="00403791">
        <w:t>, Watson C</w:t>
      </w:r>
      <w:r w:rsidR="001E46BC">
        <w:t>.,</w:t>
      </w:r>
      <w:r w:rsidRPr="00403791">
        <w:t xml:space="preserve"> (1993)</w:t>
      </w:r>
      <w:r w:rsidR="001E46BC">
        <w:t>,</w:t>
      </w:r>
      <w:r w:rsidRPr="00403791">
        <w:t xml:space="preserve"> </w:t>
      </w:r>
      <w:r w:rsidRPr="001E46BC">
        <w:rPr>
          <w:i/>
        </w:rPr>
        <w:t xml:space="preserve">Lateglacial and Early Holocene pollen stratigraphy of the </w:t>
      </w:r>
      <w:r w:rsidR="001E46BC" w:rsidRPr="001E46BC">
        <w:rPr>
          <w:i/>
        </w:rPr>
        <w:t>Northern Apennines, Italy</w:t>
      </w:r>
      <w:r w:rsidR="001E46BC">
        <w:t>, &lt;&lt;</w:t>
      </w:r>
      <w:r w:rsidRPr="00403791">
        <w:t xml:space="preserve"> Quaternary Science Reviews</w:t>
      </w:r>
      <w:r w:rsidR="001E46BC">
        <w:t xml:space="preserve">&gt;&gt;, 12, pp. </w:t>
      </w:r>
      <w:r w:rsidRPr="00403791">
        <w:t>727-738</w:t>
      </w:r>
      <w:r w:rsidR="001E46BC">
        <w:t>.</w:t>
      </w:r>
    </w:p>
    <w:p w:rsidR="00494115" w:rsidRPr="00403791" w:rsidRDefault="00494115" w:rsidP="003724E0">
      <w:pPr>
        <w:jc w:val="both"/>
      </w:pPr>
    </w:p>
    <w:p w:rsidR="003F7200" w:rsidRPr="00403791" w:rsidRDefault="001E46BC" w:rsidP="003724E0">
      <w:pPr>
        <w:jc w:val="both"/>
        <w:rPr>
          <w:lang w:val="it-IT"/>
        </w:rPr>
      </w:pPr>
      <w:r>
        <w:t>Lowe J.J., Branch N., Watson</w:t>
      </w:r>
      <w:r w:rsidR="003F7200" w:rsidRPr="00403791">
        <w:t xml:space="preserve"> C., </w:t>
      </w:r>
      <w:r>
        <w:t>(1994a),</w:t>
      </w:r>
      <w:r w:rsidR="003F7200" w:rsidRPr="00403791">
        <w:t xml:space="preserve"> </w:t>
      </w:r>
      <w:r w:rsidR="003F7200" w:rsidRPr="001E46BC">
        <w:rPr>
          <w:i/>
        </w:rPr>
        <w:t>The chronology of human disturbance of the vegetation of the northern Ap</w:t>
      </w:r>
      <w:r w:rsidRPr="001E46BC">
        <w:rPr>
          <w:i/>
        </w:rPr>
        <w:t>ennines during the Holocene</w:t>
      </w:r>
      <w:r>
        <w:t xml:space="preserve">, in </w:t>
      </w:r>
      <w:r w:rsidRPr="001E46BC">
        <w:rPr>
          <w:i/>
        </w:rPr>
        <w:t>Highland zone exploitation in southern Europe</w:t>
      </w:r>
      <w:r>
        <w:t>, edited by</w:t>
      </w:r>
      <w:r w:rsidR="003F7200" w:rsidRPr="00403791">
        <w:t xml:space="preserve"> </w:t>
      </w:r>
      <w:r>
        <w:t xml:space="preserve">P. </w:t>
      </w:r>
      <w:proofErr w:type="spellStart"/>
      <w:r>
        <w:t>Biagi</w:t>
      </w:r>
      <w:proofErr w:type="spellEnd"/>
      <w:r w:rsidR="003F7200" w:rsidRPr="00403791">
        <w:t xml:space="preserve">, </w:t>
      </w:r>
      <w:r>
        <w:t xml:space="preserve">J. </w:t>
      </w:r>
      <w:proofErr w:type="spellStart"/>
      <w:r>
        <w:t>Nandris</w:t>
      </w:r>
      <w:proofErr w:type="spellEnd"/>
      <w:r>
        <w:t>,</w:t>
      </w:r>
      <w:r w:rsidR="003F7200" w:rsidRPr="00403791">
        <w:t xml:space="preserve"> </w:t>
      </w:r>
      <w:r>
        <w:t xml:space="preserve">Brescia: </w:t>
      </w:r>
      <w:r w:rsidR="003F7200" w:rsidRPr="00403791">
        <w:rPr>
          <w:lang w:val="it-IT"/>
        </w:rPr>
        <w:t>Museo Civ</w:t>
      </w:r>
      <w:r>
        <w:rPr>
          <w:lang w:val="it-IT"/>
        </w:rPr>
        <w:t>ico Di Scienze Naturali</w:t>
      </w:r>
      <w:r w:rsidR="003F7200" w:rsidRPr="00403791">
        <w:rPr>
          <w:lang w:val="it-IT"/>
        </w:rPr>
        <w:t>, pp</w:t>
      </w:r>
      <w:r>
        <w:rPr>
          <w:lang w:val="it-IT"/>
        </w:rPr>
        <w:t>.</w:t>
      </w:r>
      <w:r w:rsidR="003F7200" w:rsidRPr="00403791">
        <w:rPr>
          <w:lang w:val="it-IT"/>
        </w:rPr>
        <w:t xml:space="preserve"> 171-189.</w:t>
      </w:r>
    </w:p>
    <w:p w:rsidR="003F7200" w:rsidRPr="00403791" w:rsidRDefault="003F7200" w:rsidP="003724E0">
      <w:pPr>
        <w:jc w:val="both"/>
        <w:rPr>
          <w:lang w:val="it-IT"/>
        </w:rPr>
      </w:pPr>
    </w:p>
    <w:p w:rsidR="003F7200" w:rsidRPr="00403791" w:rsidRDefault="00057C0B" w:rsidP="003724E0">
      <w:pPr>
        <w:jc w:val="both"/>
        <w:rPr>
          <w:lang w:val="it-IT"/>
        </w:rPr>
      </w:pPr>
      <w:r>
        <w:rPr>
          <w:lang w:val="it-IT"/>
        </w:rPr>
        <w:t>Lowe J.J., Davite C., Moreno D., Maggi</w:t>
      </w:r>
      <w:r w:rsidR="003F7200" w:rsidRPr="00403791">
        <w:rPr>
          <w:lang w:val="it-IT"/>
        </w:rPr>
        <w:t xml:space="preserve"> R., </w:t>
      </w:r>
      <w:r>
        <w:rPr>
          <w:lang w:val="it-IT"/>
        </w:rPr>
        <w:t>(1994b),</w:t>
      </w:r>
      <w:r w:rsidR="003F7200" w:rsidRPr="00403791">
        <w:rPr>
          <w:lang w:val="it-IT"/>
        </w:rPr>
        <w:t xml:space="preserve"> </w:t>
      </w:r>
      <w:r w:rsidR="003F7200" w:rsidRPr="00057C0B">
        <w:rPr>
          <w:i/>
          <w:lang w:val="it-IT"/>
        </w:rPr>
        <w:t>Holocene pollen st</w:t>
      </w:r>
      <w:r w:rsidR="003F7200" w:rsidRPr="00057C0B">
        <w:rPr>
          <w:i/>
        </w:rPr>
        <w:t>ratigraphy and human interference in the woodlands of</w:t>
      </w:r>
      <w:r w:rsidRPr="00057C0B">
        <w:rPr>
          <w:i/>
        </w:rPr>
        <w:t xml:space="preserve"> the northern Apennines, Italy</w:t>
      </w:r>
      <w:r>
        <w:t>, &lt;&lt;</w:t>
      </w:r>
      <w:r w:rsidR="003F7200" w:rsidRPr="00403791">
        <w:rPr>
          <w:lang w:val="it-IT"/>
        </w:rPr>
        <w:t>The Holocene</w:t>
      </w:r>
      <w:r>
        <w:rPr>
          <w:lang w:val="it-IT"/>
        </w:rPr>
        <w:t>&gt;&gt;,</w:t>
      </w:r>
      <w:r w:rsidR="003F7200" w:rsidRPr="00403791">
        <w:rPr>
          <w:lang w:val="it-IT"/>
        </w:rPr>
        <w:t xml:space="preserve"> 4, </w:t>
      </w:r>
      <w:r>
        <w:rPr>
          <w:lang w:val="it-IT"/>
        </w:rPr>
        <w:t xml:space="preserve">pp. </w:t>
      </w:r>
      <w:r w:rsidR="003F7200" w:rsidRPr="00403791">
        <w:rPr>
          <w:lang w:val="it-IT"/>
        </w:rPr>
        <w:t>153-164.</w:t>
      </w:r>
    </w:p>
    <w:p w:rsidR="00494115" w:rsidRPr="00403791" w:rsidRDefault="00494115" w:rsidP="003724E0">
      <w:pPr>
        <w:jc w:val="both"/>
        <w:rPr>
          <w:lang w:val="it-IT"/>
        </w:rPr>
      </w:pPr>
    </w:p>
    <w:p w:rsidR="00494115" w:rsidRPr="00403791" w:rsidRDefault="00057C0B" w:rsidP="003724E0">
      <w:pPr>
        <w:jc w:val="both"/>
        <w:rPr>
          <w:lang w:val="it-IT"/>
        </w:rPr>
      </w:pPr>
      <w:r>
        <w:rPr>
          <w:lang w:val="it-IT"/>
        </w:rPr>
        <w:t>Maggi</w:t>
      </w:r>
      <w:r w:rsidR="00494115" w:rsidRPr="00403791">
        <w:rPr>
          <w:lang w:val="it-IT"/>
        </w:rPr>
        <w:t xml:space="preserve"> R. (Ed.), 1990. Archeologia dell'Appennino Ligure gli scavi del Castellaro di Uscio: un insediamento di crinale occupato dal Neolitico alla conquista Romana. Collezione di Monografie Preistoriche ed Archeologiche 8. Istituto internazionale di studi liguri, Bordighera.</w:t>
      </w:r>
    </w:p>
    <w:p w:rsidR="00FB5D25" w:rsidRPr="00403791" w:rsidRDefault="00FB5D25" w:rsidP="003724E0">
      <w:pPr>
        <w:jc w:val="both"/>
      </w:pPr>
    </w:p>
    <w:p w:rsidR="00FB5D25" w:rsidRPr="00403791" w:rsidRDefault="00057C0B" w:rsidP="003724E0">
      <w:pPr>
        <w:jc w:val="both"/>
      </w:pPr>
      <w:r>
        <w:t>Maggi, R., ed.</w:t>
      </w:r>
      <w:r w:rsidR="00FB5D25" w:rsidRPr="00403791">
        <w:t xml:space="preserve">, </w:t>
      </w:r>
      <w:r>
        <w:t>(</w:t>
      </w:r>
      <w:r w:rsidR="00FB5D25" w:rsidRPr="00403791">
        <w:t>1997</w:t>
      </w:r>
      <w:r>
        <w:t>),</w:t>
      </w:r>
      <w:r w:rsidR="00FB5D25" w:rsidRPr="00403791">
        <w:t xml:space="preserve"> </w:t>
      </w:r>
      <w:r w:rsidR="00FB5D25" w:rsidRPr="00F91640">
        <w:rPr>
          <w:i/>
        </w:rPr>
        <w:t>Arene Candide: a Functional and Environmental Assessment of the Holocene Sequence</w:t>
      </w:r>
      <w:r w:rsidR="00FB5D25" w:rsidRPr="00403791">
        <w:t xml:space="preserve">. </w:t>
      </w:r>
      <w:r w:rsidR="00F91640">
        <w:t xml:space="preserve">Rome: Il </w:t>
      </w:r>
      <w:proofErr w:type="spellStart"/>
      <w:r w:rsidR="00F91640">
        <w:t>Calamo</w:t>
      </w:r>
      <w:proofErr w:type="spellEnd"/>
      <w:r w:rsidR="00FB5D25" w:rsidRPr="00403791">
        <w:t>.</w:t>
      </w:r>
    </w:p>
    <w:p w:rsidR="00FB5D25" w:rsidRPr="00403791" w:rsidRDefault="00FB5D25" w:rsidP="003724E0">
      <w:pPr>
        <w:jc w:val="both"/>
        <w:rPr>
          <w:lang w:val="it-IT"/>
        </w:rPr>
      </w:pPr>
    </w:p>
    <w:p w:rsidR="00494115" w:rsidRPr="00403791" w:rsidRDefault="00F91640" w:rsidP="003724E0">
      <w:pPr>
        <w:jc w:val="both"/>
      </w:pPr>
      <w:r>
        <w:t>Maggi</w:t>
      </w:r>
      <w:r w:rsidR="00494115" w:rsidRPr="00403791">
        <w:t xml:space="preserve"> R., </w:t>
      </w:r>
      <w:r>
        <w:t>(1999),</w:t>
      </w:r>
      <w:r w:rsidR="00494115" w:rsidRPr="00403791">
        <w:t xml:space="preserve"> </w:t>
      </w:r>
      <w:r w:rsidR="00494115" w:rsidRPr="00F91640">
        <w:rPr>
          <w:i/>
        </w:rPr>
        <w:t>Coasts and uplands in Liguria and Northern Tuscany from the</w:t>
      </w:r>
      <w:r w:rsidRPr="00F91640">
        <w:rPr>
          <w:i/>
        </w:rPr>
        <w:t xml:space="preserve"> Mesolithic to the Bronze Age</w:t>
      </w:r>
      <w:r>
        <w:t>, i</w:t>
      </w:r>
      <w:r w:rsidR="00494115" w:rsidRPr="00403791">
        <w:t>n</w:t>
      </w:r>
      <w:r w:rsidRPr="00F91640">
        <w:t xml:space="preserve"> </w:t>
      </w:r>
      <w:r w:rsidRPr="00F91640">
        <w:rPr>
          <w:i/>
        </w:rPr>
        <w:t>Social Dynamics of the Prehistoric Central Mediterranean</w:t>
      </w:r>
      <w:r>
        <w:t xml:space="preserve">, edited by R.H. </w:t>
      </w:r>
      <w:proofErr w:type="spellStart"/>
      <w:r>
        <w:t>Tykot</w:t>
      </w:r>
      <w:proofErr w:type="spellEnd"/>
      <w:r w:rsidR="00494115" w:rsidRPr="00403791">
        <w:t>,</w:t>
      </w:r>
      <w:r>
        <w:t xml:space="preserve"> J. </w:t>
      </w:r>
      <w:proofErr w:type="spellStart"/>
      <w:r>
        <w:t>Morter</w:t>
      </w:r>
      <w:proofErr w:type="spellEnd"/>
      <w:r w:rsidR="00494115" w:rsidRPr="00403791">
        <w:t xml:space="preserve">, </w:t>
      </w:r>
      <w:r>
        <w:t>J.E. Robb,</w:t>
      </w:r>
      <w:r w:rsidR="00494115" w:rsidRPr="00403791">
        <w:t xml:space="preserve"> </w:t>
      </w:r>
      <w:r>
        <w:t xml:space="preserve">London: </w:t>
      </w:r>
      <w:proofErr w:type="spellStart"/>
      <w:r w:rsidR="00494115" w:rsidRPr="00403791">
        <w:t>Acc</w:t>
      </w:r>
      <w:r>
        <w:t>ordia</w:t>
      </w:r>
      <w:proofErr w:type="spellEnd"/>
      <w:r>
        <w:t xml:space="preserve"> Research Institute</w:t>
      </w:r>
      <w:r w:rsidR="00494115" w:rsidRPr="00403791">
        <w:t>, pp. 47-65.</w:t>
      </w:r>
    </w:p>
    <w:p w:rsidR="00494115" w:rsidRPr="00403791" w:rsidRDefault="00494115" w:rsidP="003724E0">
      <w:pPr>
        <w:jc w:val="both"/>
      </w:pPr>
    </w:p>
    <w:p w:rsidR="00494115" w:rsidRPr="00403791" w:rsidRDefault="00F91640" w:rsidP="003724E0">
      <w:pPr>
        <w:jc w:val="both"/>
      </w:pPr>
      <w:r>
        <w:lastRenderedPageBreak/>
        <w:t>Maggi</w:t>
      </w:r>
      <w:r w:rsidR="00494115" w:rsidRPr="00403791">
        <w:t xml:space="preserve"> R., </w:t>
      </w:r>
      <w:r>
        <w:t>(2004),</w:t>
      </w:r>
      <w:r w:rsidR="00494115" w:rsidRPr="00403791">
        <w:t xml:space="preserve"> </w:t>
      </w:r>
      <w:r w:rsidR="00494115" w:rsidRPr="00F91640">
        <w:rPr>
          <w:i/>
        </w:rPr>
        <w:t xml:space="preserve">I </w:t>
      </w:r>
      <w:proofErr w:type="spellStart"/>
      <w:r w:rsidR="00494115" w:rsidRPr="00F91640">
        <w:rPr>
          <w:i/>
        </w:rPr>
        <w:t>monti</w:t>
      </w:r>
      <w:proofErr w:type="spellEnd"/>
      <w:r w:rsidR="00494115" w:rsidRPr="00F91640">
        <w:rPr>
          <w:i/>
        </w:rPr>
        <w:t xml:space="preserve"> sun </w:t>
      </w:r>
      <w:proofErr w:type="spellStart"/>
      <w:r w:rsidR="00494115" w:rsidRPr="00F91640">
        <w:rPr>
          <w:i/>
        </w:rPr>
        <w:t>eggi</w:t>
      </w:r>
      <w:proofErr w:type="spellEnd"/>
      <w:r w:rsidR="00494115" w:rsidRPr="00F91640">
        <w:rPr>
          <w:i/>
        </w:rPr>
        <w:t>: the making of the Ligur</w:t>
      </w:r>
      <w:r w:rsidRPr="00F91640">
        <w:rPr>
          <w:i/>
        </w:rPr>
        <w:t>ian landscape in prehistory</w:t>
      </w:r>
      <w:r>
        <w:t xml:space="preserve">, in </w:t>
      </w:r>
      <w:r w:rsidRPr="00F91640">
        <w:rPr>
          <w:i/>
        </w:rPr>
        <w:t>Ligurian Landscapes: studies on archaeology, geography and history</w:t>
      </w:r>
      <w:r>
        <w:t xml:space="preserve">, edited by R. </w:t>
      </w:r>
      <w:proofErr w:type="spellStart"/>
      <w:r>
        <w:t>Balzaretti</w:t>
      </w:r>
      <w:proofErr w:type="spellEnd"/>
      <w:r>
        <w:t>, M. Pearce, C. Watkins</w:t>
      </w:r>
      <w:r w:rsidR="00494115" w:rsidRPr="00403791">
        <w:t xml:space="preserve">, </w:t>
      </w:r>
      <w:r>
        <w:t xml:space="preserve">London: </w:t>
      </w:r>
      <w:proofErr w:type="spellStart"/>
      <w:r w:rsidR="00494115" w:rsidRPr="00403791">
        <w:t>Acc</w:t>
      </w:r>
      <w:r>
        <w:t>ordia</w:t>
      </w:r>
      <w:proofErr w:type="spellEnd"/>
      <w:r>
        <w:t xml:space="preserve"> Research Institute</w:t>
      </w:r>
      <w:r w:rsidR="00494115" w:rsidRPr="00403791">
        <w:t>, pp. 71-82.</w:t>
      </w:r>
    </w:p>
    <w:p w:rsidR="00494115" w:rsidRPr="00403791" w:rsidRDefault="00494115" w:rsidP="003724E0">
      <w:pPr>
        <w:jc w:val="both"/>
        <w:rPr>
          <w:lang w:val="it-IT"/>
        </w:rPr>
      </w:pPr>
    </w:p>
    <w:p w:rsidR="00494115" w:rsidRPr="00403791" w:rsidRDefault="00580F41" w:rsidP="003724E0">
      <w:pPr>
        <w:jc w:val="both"/>
        <w:rPr>
          <w:lang w:val="it-IT"/>
        </w:rPr>
      </w:pPr>
      <w:r>
        <w:rPr>
          <w:lang w:val="it-IT"/>
        </w:rPr>
        <w:t>Maggi R., Nisbet</w:t>
      </w:r>
      <w:r w:rsidR="00494115" w:rsidRPr="00403791">
        <w:rPr>
          <w:lang w:val="it-IT"/>
        </w:rPr>
        <w:t xml:space="preserve"> R., </w:t>
      </w:r>
      <w:r>
        <w:rPr>
          <w:lang w:val="it-IT"/>
        </w:rPr>
        <w:t>(1990),</w:t>
      </w:r>
      <w:r w:rsidR="00494115" w:rsidRPr="00403791">
        <w:rPr>
          <w:lang w:val="it-IT"/>
        </w:rPr>
        <w:t xml:space="preserve"> </w:t>
      </w:r>
      <w:r w:rsidR="00494115" w:rsidRPr="00580F41">
        <w:rPr>
          <w:i/>
          <w:lang w:val="it-IT"/>
        </w:rPr>
        <w:t>Pre</w:t>
      </w:r>
      <w:r w:rsidRPr="00580F41">
        <w:rPr>
          <w:i/>
          <w:lang w:val="it-IT"/>
        </w:rPr>
        <w:t>historic pastoralism in Liguria</w:t>
      </w:r>
      <w:r>
        <w:rPr>
          <w:lang w:val="it-IT"/>
        </w:rPr>
        <w:t>,</w:t>
      </w:r>
      <w:r w:rsidR="00494115" w:rsidRPr="00403791">
        <w:rPr>
          <w:lang w:val="it-IT"/>
        </w:rPr>
        <w:t> </w:t>
      </w:r>
      <w:r>
        <w:rPr>
          <w:lang w:val="it-IT"/>
        </w:rPr>
        <w:t>&lt;&lt;</w:t>
      </w:r>
      <w:r w:rsidR="00494115" w:rsidRPr="00580F41">
        <w:rPr>
          <w:iCs/>
          <w:lang w:val="it-IT"/>
        </w:rPr>
        <w:t>Rivista di studi liguri</w:t>
      </w:r>
      <w:r>
        <w:rPr>
          <w:iCs/>
          <w:lang w:val="it-IT"/>
        </w:rPr>
        <w:t>&gt;&gt;,</w:t>
      </w:r>
      <w:r w:rsidR="00494115" w:rsidRPr="00403791">
        <w:rPr>
          <w:lang w:val="it-IT"/>
        </w:rPr>
        <w:t xml:space="preserve"> 56, </w:t>
      </w:r>
      <w:r>
        <w:rPr>
          <w:lang w:val="it-IT"/>
        </w:rPr>
        <w:t xml:space="preserve">pp. </w:t>
      </w:r>
      <w:r w:rsidR="00494115" w:rsidRPr="00403791">
        <w:rPr>
          <w:lang w:val="it-IT"/>
        </w:rPr>
        <w:t>265-296.</w:t>
      </w:r>
    </w:p>
    <w:p w:rsidR="00494115" w:rsidRPr="00403791" w:rsidRDefault="00494115" w:rsidP="003724E0">
      <w:pPr>
        <w:rPr>
          <w:lang w:val="it-IT"/>
        </w:rPr>
      </w:pPr>
    </w:p>
    <w:p w:rsidR="00762656" w:rsidRPr="00403791" w:rsidRDefault="00580F41" w:rsidP="003724E0">
      <w:pPr>
        <w:rPr>
          <w:lang w:val="it-IT"/>
        </w:rPr>
      </w:pPr>
      <w:r>
        <w:rPr>
          <w:lang w:val="it-IT"/>
        </w:rPr>
        <w:t>Marzatico</w:t>
      </w:r>
      <w:r w:rsidR="00762656" w:rsidRPr="00403791">
        <w:rPr>
          <w:lang w:val="it-IT"/>
        </w:rPr>
        <w:t xml:space="preserve"> F., </w:t>
      </w:r>
      <w:r>
        <w:rPr>
          <w:lang w:val="it-IT"/>
        </w:rPr>
        <w:t>(2007),</w:t>
      </w:r>
      <w:r w:rsidR="00762656" w:rsidRPr="00403791">
        <w:rPr>
          <w:lang w:val="it-IT"/>
        </w:rPr>
        <w:t xml:space="preserve"> </w:t>
      </w:r>
      <w:r w:rsidR="00762656" w:rsidRPr="00580F41">
        <w:rPr>
          <w:i/>
          <w:lang w:val="it-IT"/>
        </w:rPr>
        <w:t>La frequentazione dell’ambiente montano nel territorio atesino fra l’età del Bronzo e del Ferro: alcune considerazioni sulla pastorizia trans</w:t>
      </w:r>
      <w:r w:rsidRPr="00580F41">
        <w:rPr>
          <w:i/>
          <w:lang w:val="it-IT"/>
        </w:rPr>
        <w:t xml:space="preserve">umante e “l’economia di malga”, </w:t>
      </w:r>
      <w:r>
        <w:rPr>
          <w:lang w:val="it-IT"/>
        </w:rPr>
        <w:t>&lt;&lt;</w:t>
      </w:r>
      <w:r w:rsidR="00762656" w:rsidRPr="00580F41">
        <w:rPr>
          <w:iCs/>
          <w:lang w:val="it-IT"/>
        </w:rPr>
        <w:t>Preistoria Alpina</w:t>
      </w:r>
      <w:r>
        <w:rPr>
          <w:iCs/>
          <w:lang w:val="it-IT"/>
        </w:rPr>
        <w:t>&gt;&gt;</w:t>
      </w:r>
      <w:r w:rsidR="00762656" w:rsidRPr="00580F41">
        <w:rPr>
          <w:lang w:val="it-IT"/>
        </w:rPr>
        <w:t>,</w:t>
      </w:r>
      <w:r>
        <w:rPr>
          <w:lang w:val="it-IT"/>
        </w:rPr>
        <w:t xml:space="preserve"> 42,</w:t>
      </w:r>
      <w:r w:rsidR="00762656" w:rsidRPr="00403791">
        <w:rPr>
          <w:lang w:val="it-IT"/>
        </w:rPr>
        <w:t xml:space="preserve"> </w:t>
      </w:r>
      <w:r>
        <w:rPr>
          <w:lang w:val="it-IT"/>
        </w:rPr>
        <w:t xml:space="preserve">pp. </w:t>
      </w:r>
      <w:r w:rsidR="00762656" w:rsidRPr="00403791">
        <w:rPr>
          <w:lang w:val="it-IT"/>
        </w:rPr>
        <w:t>163-182.</w:t>
      </w:r>
    </w:p>
    <w:p w:rsidR="00F946C8" w:rsidRPr="00403791" w:rsidRDefault="00F946C8" w:rsidP="003724E0">
      <w:pPr>
        <w:rPr>
          <w:lang w:val="it-IT"/>
        </w:rPr>
      </w:pPr>
    </w:p>
    <w:p w:rsidR="00F946C8" w:rsidRPr="00403791" w:rsidRDefault="00F946C8" w:rsidP="003724E0">
      <w:pPr>
        <w:jc w:val="both"/>
      </w:pPr>
      <w:proofErr w:type="spellStart"/>
      <w:r w:rsidRPr="00403791">
        <w:t>Mayewski</w:t>
      </w:r>
      <w:proofErr w:type="spellEnd"/>
      <w:r w:rsidRPr="00403791">
        <w:t xml:space="preserve"> P</w:t>
      </w:r>
      <w:r w:rsidR="00580F41">
        <w:t>.</w:t>
      </w:r>
      <w:r w:rsidRPr="00403791">
        <w:t>A</w:t>
      </w:r>
      <w:r w:rsidR="00580F41">
        <w:t>.</w:t>
      </w:r>
      <w:r w:rsidRPr="00403791">
        <w:t xml:space="preserve">, </w:t>
      </w:r>
      <w:proofErr w:type="spellStart"/>
      <w:r w:rsidRPr="00403791">
        <w:t>Rohling</w:t>
      </w:r>
      <w:proofErr w:type="spellEnd"/>
      <w:r w:rsidRPr="00403791">
        <w:t xml:space="preserve"> E</w:t>
      </w:r>
      <w:r w:rsidR="00580F41">
        <w:t>.</w:t>
      </w:r>
      <w:r w:rsidRPr="00403791">
        <w:t>E</w:t>
      </w:r>
      <w:r w:rsidR="00580F41">
        <w:t>.</w:t>
      </w:r>
      <w:r w:rsidRPr="00403791">
        <w:t>, Stager J</w:t>
      </w:r>
      <w:r w:rsidR="00580F41">
        <w:t>.</w:t>
      </w:r>
      <w:r w:rsidRPr="00403791">
        <w:t>C</w:t>
      </w:r>
      <w:r w:rsidR="00580F41">
        <w:t>.</w:t>
      </w:r>
      <w:r w:rsidRPr="00403791">
        <w:t xml:space="preserve">, </w:t>
      </w:r>
      <w:proofErr w:type="spellStart"/>
      <w:r w:rsidRPr="00403791">
        <w:t>Karlen</w:t>
      </w:r>
      <w:proofErr w:type="spellEnd"/>
      <w:r w:rsidRPr="00403791">
        <w:t xml:space="preserve"> W</w:t>
      </w:r>
      <w:r w:rsidR="00580F41">
        <w:t>.</w:t>
      </w:r>
      <w:r w:rsidRPr="00403791">
        <w:t xml:space="preserve">, </w:t>
      </w:r>
      <w:proofErr w:type="spellStart"/>
      <w:r w:rsidRPr="00403791">
        <w:t>Maasch</w:t>
      </w:r>
      <w:proofErr w:type="spellEnd"/>
      <w:r w:rsidRPr="00403791">
        <w:t xml:space="preserve"> K</w:t>
      </w:r>
      <w:r w:rsidR="00580F41">
        <w:t>.</w:t>
      </w:r>
      <w:r w:rsidRPr="00403791">
        <w:t>A</w:t>
      </w:r>
      <w:r w:rsidR="00580F41">
        <w:t>.</w:t>
      </w:r>
      <w:r w:rsidRPr="00403791">
        <w:t>, Meeker L</w:t>
      </w:r>
      <w:r w:rsidR="00580F41">
        <w:t>.</w:t>
      </w:r>
      <w:r w:rsidRPr="00403791">
        <w:t>D</w:t>
      </w:r>
      <w:r w:rsidR="00580F41">
        <w:t>.</w:t>
      </w:r>
      <w:r w:rsidRPr="00403791">
        <w:t xml:space="preserve">, </w:t>
      </w:r>
      <w:proofErr w:type="spellStart"/>
      <w:r w:rsidRPr="00403791">
        <w:t>Meyerson</w:t>
      </w:r>
      <w:proofErr w:type="spellEnd"/>
      <w:r w:rsidRPr="00403791">
        <w:t xml:space="preserve"> A</w:t>
      </w:r>
      <w:r w:rsidR="00580F41">
        <w:t>.</w:t>
      </w:r>
      <w:r w:rsidRPr="00403791">
        <w:t xml:space="preserve">, </w:t>
      </w:r>
      <w:proofErr w:type="spellStart"/>
      <w:r w:rsidRPr="00403791">
        <w:t>Gasse</w:t>
      </w:r>
      <w:proofErr w:type="spellEnd"/>
      <w:r w:rsidRPr="00403791">
        <w:t xml:space="preserve"> F</w:t>
      </w:r>
      <w:r w:rsidR="00580F41">
        <w:t>.</w:t>
      </w:r>
      <w:r w:rsidRPr="00403791">
        <w:t xml:space="preserve">, van </w:t>
      </w:r>
      <w:proofErr w:type="spellStart"/>
      <w:r w:rsidRPr="00403791">
        <w:t>Kreveld</w:t>
      </w:r>
      <w:proofErr w:type="spellEnd"/>
      <w:r w:rsidRPr="00403791">
        <w:t xml:space="preserve"> S</w:t>
      </w:r>
      <w:r w:rsidR="00580F41">
        <w:t>.</w:t>
      </w:r>
      <w:r w:rsidRPr="00403791">
        <w:t>, Holmgren K</w:t>
      </w:r>
      <w:r w:rsidR="00580F41">
        <w:t>.</w:t>
      </w:r>
      <w:r w:rsidRPr="00403791">
        <w:t>, Lee-Thorp J</w:t>
      </w:r>
      <w:r w:rsidR="00580F41">
        <w:t>.</w:t>
      </w:r>
      <w:r w:rsidRPr="00403791">
        <w:t xml:space="preserve">, </w:t>
      </w:r>
      <w:proofErr w:type="spellStart"/>
      <w:r w:rsidRPr="00403791">
        <w:t>Rosqvist</w:t>
      </w:r>
      <w:proofErr w:type="spellEnd"/>
      <w:r w:rsidRPr="00403791">
        <w:t xml:space="preserve"> G</w:t>
      </w:r>
      <w:r w:rsidR="00580F41">
        <w:t>.</w:t>
      </w:r>
      <w:r w:rsidRPr="00403791">
        <w:t>, Rack F</w:t>
      </w:r>
      <w:r w:rsidR="00580F41">
        <w:t>.</w:t>
      </w:r>
      <w:r w:rsidRPr="00403791">
        <w:t xml:space="preserve">, </w:t>
      </w:r>
      <w:proofErr w:type="spellStart"/>
      <w:r w:rsidRPr="00403791">
        <w:t>Staubwasser</w:t>
      </w:r>
      <w:proofErr w:type="spellEnd"/>
      <w:r w:rsidRPr="00403791">
        <w:t xml:space="preserve"> M</w:t>
      </w:r>
      <w:r w:rsidR="00580F41">
        <w:t>.</w:t>
      </w:r>
      <w:r w:rsidRPr="00403791">
        <w:t>, Schneider R</w:t>
      </w:r>
      <w:r w:rsidR="00580F41">
        <w:t>.</w:t>
      </w:r>
      <w:r w:rsidRPr="00403791">
        <w:t>R</w:t>
      </w:r>
      <w:r w:rsidR="00580F41">
        <w:t>.</w:t>
      </w:r>
      <w:r w:rsidRPr="00403791">
        <w:t xml:space="preserve">, </w:t>
      </w:r>
      <w:proofErr w:type="spellStart"/>
      <w:r w:rsidRPr="00403791">
        <w:t>Steig</w:t>
      </w:r>
      <w:proofErr w:type="spellEnd"/>
      <w:r w:rsidRPr="00403791">
        <w:t xml:space="preserve"> E</w:t>
      </w:r>
      <w:r w:rsidR="00580F41">
        <w:t>.</w:t>
      </w:r>
      <w:r w:rsidRPr="00403791">
        <w:t>J</w:t>
      </w:r>
      <w:r w:rsidR="00580F41">
        <w:t>.,</w:t>
      </w:r>
      <w:r w:rsidRPr="00403791">
        <w:t xml:space="preserve"> (2004)</w:t>
      </w:r>
      <w:r w:rsidR="00580F41">
        <w:t xml:space="preserve">, </w:t>
      </w:r>
      <w:r w:rsidR="00580F41" w:rsidRPr="00580F41">
        <w:rPr>
          <w:i/>
        </w:rPr>
        <w:t>Holocene climate variability</w:t>
      </w:r>
      <w:r w:rsidR="00580F41">
        <w:t>, &lt;&lt;</w:t>
      </w:r>
      <w:r w:rsidRPr="00403791">
        <w:t>Quaternary Research</w:t>
      </w:r>
      <w:r w:rsidR="00580F41">
        <w:t>&gt;&gt;,</w:t>
      </w:r>
      <w:r w:rsidRPr="00403791">
        <w:rPr>
          <w:i/>
        </w:rPr>
        <w:t xml:space="preserve"> </w:t>
      </w:r>
      <w:r w:rsidR="00580F41">
        <w:t xml:space="preserve">62, pp. </w:t>
      </w:r>
      <w:r w:rsidRPr="00403791">
        <w:t>243-255</w:t>
      </w:r>
      <w:r w:rsidR="00580F41">
        <w:t>.</w:t>
      </w:r>
    </w:p>
    <w:p w:rsidR="00111938" w:rsidRDefault="00111938" w:rsidP="003724E0">
      <w:pPr>
        <w:spacing w:after="240"/>
        <w:contextualSpacing/>
        <w:jc w:val="both"/>
        <w:rPr>
          <w:rFonts w:ascii="Book Antiqua" w:hAnsi="Book Antiqua" w:cs="AdvTT5235d5a9"/>
          <w:lang w:val="en-US"/>
        </w:rPr>
      </w:pPr>
    </w:p>
    <w:p w:rsidR="00111938" w:rsidRPr="00111938" w:rsidRDefault="00580F41" w:rsidP="003724E0">
      <w:pPr>
        <w:spacing w:after="240"/>
        <w:contextualSpacing/>
        <w:jc w:val="both"/>
        <w:rPr>
          <w:lang w:val="en-US"/>
        </w:rPr>
      </w:pPr>
      <w:proofErr w:type="spellStart"/>
      <w:r>
        <w:rPr>
          <w:lang w:val="en-US"/>
        </w:rPr>
        <w:t>Mazier</w:t>
      </w:r>
      <w:proofErr w:type="spellEnd"/>
      <w:r>
        <w:rPr>
          <w:lang w:val="en-US"/>
        </w:rPr>
        <w:t xml:space="preserve"> F., </w:t>
      </w:r>
      <w:proofErr w:type="spellStart"/>
      <w:r>
        <w:rPr>
          <w:lang w:val="en-US"/>
        </w:rPr>
        <w:t>Galop</w:t>
      </w:r>
      <w:proofErr w:type="spellEnd"/>
      <w:r>
        <w:rPr>
          <w:lang w:val="en-US"/>
        </w:rPr>
        <w:t xml:space="preserve"> D., Gaillard M.J., </w:t>
      </w:r>
      <w:proofErr w:type="spellStart"/>
      <w:r>
        <w:rPr>
          <w:lang w:val="en-US"/>
        </w:rPr>
        <w:t>Rendu</w:t>
      </w:r>
      <w:proofErr w:type="spellEnd"/>
      <w:r>
        <w:rPr>
          <w:lang w:val="en-US"/>
        </w:rPr>
        <w:t xml:space="preserve"> C., </w:t>
      </w:r>
      <w:proofErr w:type="spellStart"/>
      <w:r>
        <w:rPr>
          <w:lang w:val="en-US"/>
        </w:rPr>
        <w:t>Cugny</w:t>
      </w:r>
      <w:proofErr w:type="spellEnd"/>
      <w:r>
        <w:rPr>
          <w:lang w:val="en-US"/>
        </w:rPr>
        <w:t xml:space="preserve"> C., </w:t>
      </w:r>
      <w:proofErr w:type="spellStart"/>
      <w:r>
        <w:rPr>
          <w:lang w:val="en-US"/>
        </w:rPr>
        <w:t>Legaz</w:t>
      </w:r>
      <w:proofErr w:type="spellEnd"/>
      <w:r>
        <w:rPr>
          <w:lang w:val="en-US"/>
        </w:rPr>
        <w:t xml:space="preserve"> A., Peyron O., </w:t>
      </w:r>
      <w:proofErr w:type="spellStart"/>
      <w:r>
        <w:rPr>
          <w:lang w:val="en-US"/>
        </w:rPr>
        <w:t>Buttler</w:t>
      </w:r>
      <w:proofErr w:type="spellEnd"/>
      <w:r w:rsidR="00111938" w:rsidRPr="00111938">
        <w:rPr>
          <w:lang w:val="en-US"/>
        </w:rPr>
        <w:t xml:space="preserve"> A., </w:t>
      </w:r>
      <w:r>
        <w:rPr>
          <w:lang w:val="en-US"/>
        </w:rPr>
        <w:t>(2009),</w:t>
      </w:r>
      <w:r w:rsidR="00111938" w:rsidRPr="00111938">
        <w:rPr>
          <w:lang w:val="en-US"/>
        </w:rPr>
        <w:t xml:space="preserve"> </w:t>
      </w:r>
      <w:r w:rsidR="00111938" w:rsidRPr="00580F41">
        <w:rPr>
          <w:i/>
          <w:lang w:val="en-US"/>
        </w:rPr>
        <w:t>Multidisciplinary approach to reconstructing local pastoral activities: an example from the Py</w:t>
      </w:r>
      <w:r w:rsidRPr="00580F41">
        <w:rPr>
          <w:i/>
          <w:lang w:val="en-US"/>
        </w:rPr>
        <w:t>renean Mountains (Pays Basque),</w:t>
      </w:r>
      <w:r>
        <w:rPr>
          <w:lang w:val="en-US"/>
        </w:rPr>
        <w:t xml:space="preserve"> &lt;&lt;</w:t>
      </w:r>
      <w:r w:rsidR="00111938" w:rsidRPr="00111938">
        <w:rPr>
          <w:lang w:val="en-US"/>
        </w:rPr>
        <w:t>The Holocene</w:t>
      </w:r>
      <w:r>
        <w:rPr>
          <w:lang w:val="en-US"/>
        </w:rPr>
        <w:t>&gt;&gt;,</w:t>
      </w:r>
      <w:r w:rsidR="00111938" w:rsidRPr="00111938">
        <w:rPr>
          <w:lang w:val="en-US"/>
        </w:rPr>
        <w:t xml:space="preserve"> 19, </w:t>
      </w:r>
      <w:r>
        <w:rPr>
          <w:lang w:val="en-US"/>
        </w:rPr>
        <w:t xml:space="preserve">pp. </w:t>
      </w:r>
      <w:r w:rsidR="00111938" w:rsidRPr="00111938">
        <w:rPr>
          <w:lang w:val="en-US"/>
        </w:rPr>
        <w:t>171-188.</w:t>
      </w:r>
    </w:p>
    <w:p w:rsidR="003F7200" w:rsidRPr="00403791" w:rsidRDefault="003F7200" w:rsidP="003724E0">
      <w:pPr>
        <w:rPr>
          <w:lang w:val="it-IT"/>
        </w:rPr>
      </w:pPr>
    </w:p>
    <w:p w:rsidR="003F7200" w:rsidRPr="00403791" w:rsidRDefault="00580F41" w:rsidP="003724E0">
      <w:pPr>
        <w:jc w:val="both"/>
      </w:pPr>
      <w:r>
        <w:t xml:space="preserve">Menozzi B.I., Bellini C., </w:t>
      </w:r>
      <w:proofErr w:type="spellStart"/>
      <w:r>
        <w:t>Cevasco</w:t>
      </w:r>
      <w:proofErr w:type="spellEnd"/>
      <w:r>
        <w:t xml:space="preserve"> A., </w:t>
      </w:r>
      <w:proofErr w:type="spellStart"/>
      <w:r>
        <w:t>Cevasco</w:t>
      </w:r>
      <w:proofErr w:type="spellEnd"/>
      <w:r>
        <w:t xml:space="preserve"> R., de Pascale A., Guido M.A., Maggi R., Moe</w:t>
      </w:r>
      <w:r w:rsidR="003F7200" w:rsidRPr="00403791">
        <w:t xml:space="preserve"> D.,</w:t>
      </w:r>
      <w:r>
        <w:t xml:space="preserve"> Montanari C., Moreno</w:t>
      </w:r>
      <w:r w:rsidR="003F7200" w:rsidRPr="00403791">
        <w:t xml:space="preserve"> D., </w:t>
      </w:r>
      <w:r>
        <w:t>(2007),</w:t>
      </w:r>
      <w:r w:rsidR="003F7200" w:rsidRPr="00403791">
        <w:t xml:space="preserve"> </w:t>
      </w:r>
      <w:r w:rsidR="003F7200" w:rsidRPr="005B29D5">
        <w:rPr>
          <w:i/>
        </w:rPr>
        <w:t xml:space="preserve">The archaeology of a peat bog in context: contribution to the study of </w:t>
      </w:r>
      <w:proofErr w:type="spellStart"/>
      <w:r w:rsidR="003F7200" w:rsidRPr="005B29D5">
        <w:rPr>
          <w:i/>
        </w:rPr>
        <w:t>biodiversification</w:t>
      </w:r>
      <w:proofErr w:type="spellEnd"/>
      <w:r w:rsidR="003F7200" w:rsidRPr="005B29D5">
        <w:rPr>
          <w:i/>
        </w:rPr>
        <w:t xml:space="preserve"> processes in historical time (Ligurian Apennines, NW Italy). </w:t>
      </w:r>
      <w:r w:rsidR="003F7200" w:rsidRPr="00403791">
        <w:t>Communication presented at the Medieval Europe Paris 2007 – 4</w:t>
      </w:r>
      <w:r w:rsidR="003F7200" w:rsidRPr="00403791">
        <w:rPr>
          <w:vertAlign w:val="superscript"/>
        </w:rPr>
        <w:t>th</w:t>
      </w:r>
      <w:r w:rsidR="003F7200" w:rsidRPr="00403791">
        <w:t xml:space="preserve"> International Congress of Medieval and Modern Archaeology, </w:t>
      </w:r>
      <w:r>
        <w:t xml:space="preserve">pp. </w:t>
      </w:r>
      <w:r w:rsidR="003F7200" w:rsidRPr="00403791">
        <w:t>1-11.</w:t>
      </w:r>
    </w:p>
    <w:p w:rsidR="003F7200" w:rsidRPr="00403791" w:rsidRDefault="003F7200" w:rsidP="003724E0">
      <w:pPr>
        <w:jc w:val="both"/>
      </w:pPr>
    </w:p>
    <w:p w:rsidR="003F7200" w:rsidRPr="00403791" w:rsidRDefault="005B29D5" w:rsidP="003724E0">
      <w:pPr>
        <w:jc w:val="both"/>
      </w:pPr>
      <w:proofErr w:type="spellStart"/>
      <w:r>
        <w:t>Menozzi</w:t>
      </w:r>
      <w:proofErr w:type="spellEnd"/>
      <w:r>
        <w:t xml:space="preserve"> B.I., </w:t>
      </w:r>
      <w:proofErr w:type="spellStart"/>
      <w:r>
        <w:t>Zotti</w:t>
      </w:r>
      <w:proofErr w:type="spellEnd"/>
      <w:r>
        <w:t xml:space="preserve"> M., Montanari</w:t>
      </w:r>
      <w:r w:rsidR="003F7200" w:rsidRPr="00403791">
        <w:t xml:space="preserve"> C., </w:t>
      </w:r>
      <w:r>
        <w:t>(2010),</w:t>
      </w:r>
      <w:r w:rsidR="003F7200" w:rsidRPr="00403791">
        <w:t xml:space="preserve"> </w:t>
      </w:r>
      <w:r w:rsidR="003F7200" w:rsidRPr="005B29D5">
        <w:rPr>
          <w:i/>
        </w:rPr>
        <w:t>A non-pollen palynomorphs contribution to the local environmental history in the Ligurian</w:t>
      </w:r>
      <w:r w:rsidRPr="005B29D5">
        <w:rPr>
          <w:i/>
        </w:rPr>
        <w:t xml:space="preserve"> Apennines: a preliminary study</w:t>
      </w:r>
      <w:r>
        <w:t>,</w:t>
      </w:r>
      <w:r w:rsidR="003F7200" w:rsidRPr="00403791">
        <w:t xml:space="preserve"> </w:t>
      </w:r>
      <w:r>
        <w:t>&lt;&lt;</w:t>
      </w:r>
      <w:r w:rsidR="003F7200" w:rsidRPr="00403791">
        <w:t>Vegetation History and Archaeobotany</w:t>
      </w:r>
      <w:r>
        <w:t>&gt;&gt;,</w:t>
      </w:r>
      <w:r w:rsidR="003F7200" w:rsidRPr="00403791">
        <w:t xml:space="preserve"> 19, </w:t>
      </w:r>
      <w:r>
        <w:t xml:space="preserve">pp. </w:t>
      </w:r>
      <w:r w:rsidR="003F7200" w:rsidRPr="00403791">
        <w:t>503–512.</w:t>
      </w:r>
    </w:p>
    <w:p w:rsidR="00F946C8" w:rsidRPr="00403791" w:rsidRDefault="00F946C8" w:rsidP="003724E0">
      <w:pPr>
        <w:jc w:val="both"/>
      </w:pPr>
    </w:p>
    <w:p w:rsidR="00F946C8" w:rsidRPr="00403791" w:rsidRDefault="00F946C8" w:rsidP="003724E0">
      <w:pPr>
        <w:jc w:val="both"/>
      </w:pPr>
      <w:r w:rsidRPr="00403791">
        <w:t>Mercuri A-M</w:t>
      </w:r>
      <w:r w:rsidR="005B29D5">
        <w:t>.</w:t>
      </w:r>
      <w:r w:rsidRPr="00403791">
        <w:t xml:space="preserve">, </w:t>
      </w:r>
      <w:proofErr w:type="spellStart"/>
      <w:r w:rsidRPr="00403791">
        <w:t>Sadori</w:t>
      </w:r>
      <w:proofErr w:type="spellEnd"/>
      <w:r w:rsidRPr="00403791">
        <w:t xml:space="preserve"> L</w:t>
      </w:r>
      <w:r w:rsidR="005B29D5">
        <w:t>.</w:t>
      </w:r>
      <w:r w:rsidRPr="00403791">
        <w:t xml:space="preserve">, </w:t>
      </w:r>
      <w:proofErr w:type="spellStart"/>
      <w:r w:rsidRPr="00403791">
        <w:t>Uzquiano</w:t>
      </w:r>
      <w:proofErr w:type="spellEnd"/>
      <w:r w:rsidRPr="00403791">
        <w:t xml:space="preserve"> </w:t>
      </w:r>
      <w:proofErr w:type="spellStart"/>
      <w:r w:rsidRPr="00403791">
        <w:t>Ollero</w:t>
      </w:r>
      <w:proofErr w:type="spellEnd"/>
      <w:r w:rsidRPr="00403791">
        <w:t xml:space="preserve"> P</w:t>
      </w:r>
      <w:r w:rsidR="005B29D5">
        <w:t>.,</w:t>
      </w:r>
      <w:r w:rsidRPr="00403791">
        <w:t xml:space="preserve"> (2011)</w:t>
      </w:r>
      <w:r w:rsidR="005B29D5">
        <w:t>,</w:t>
      </w:r>
      <w:r w:rsidRPr="00403791">
        <w:t xml:space="preserve"> </w:t>
      </w:r>
      <w:r w:rsidRPr="005B29D5">
        <w:rPr>
          <w:i/>
        </w:rPr>
        <w:t>Mediterranean and north-African cultural adaptations to mid-Holocene env</w:t>
      </w:r>
      <w:r w:rsidR="005B29D5" w:rsidRPr="005B29D5">
        <w:rPr>
          <w:i/>
        </w:rPr>
        <w:t>ironmental and climatic changes</w:t>
      </w:r>
      <w:r w:rsidR="005B29D5">
        <w:t>,</w:t>
      </w:r>
      <w:r w:rsidRPr="00403791">
        <w:t xml:space="preserve"> </w:t>
      </w:r>
      <w:r w:rsidR="005B29D5">
        <w:t>&lt;&lt;</w:t>
      </w:r>
      <w:r w:rsidRPr="00403791">
        <w:t>The Holocene</w:t>
      </w:r>
      <w:r w:rsidR="005B29D5">
        <w:t xml:space="preserve">&gt;&gt;, 21, pp. </w:t>
      </w:r>
      <w:r w:rsidRPr="00403791">
        <w:t>189-206</w:t>
      </w:r>
      <w:r w:rsidR="005B29D5">
        <w:t>.</w:t>
      </w:r>
    </w:p>
    <w:p w:rsidR="005456E8" w:rsidRPr="00A75E0B" w:rsidRDefault="005456E8" w:rsidP="003724E0">
      <w:pPr>
        <w:jc w:val="both"/>
        <w:rPr>
          <w:color w:val="FF0000"/>
        </w:rPr>
      </w:pPr>
    </w:p>
    <w:p w:rsidR="00A75E0B" w:rsidRPr="00A837F0" w:rsidRDefault="00A75E0B" w:rsidP="003724E0">
      <w:pPr>
        <w:jc w:val="both"/>
      </w:pPr>
      <w:r w:rsidRPr="00A837F0">
        <w:t>Montanari</w:t>
      </w:r>
      <w:r w:rsidR="00A837F0" w:rsidRPr="00A837F0">
        <w:t xml:space="preserve"> C., Guido M.A., </w:t>
      </w:r>
      <w:proofErr w:type="spellStart"/>
      <w:r w:rsidR="00A837F0" w:rsidRPr="00A837F0">
        <w:t>Cornara</w:t>
      </w:r>
      <w:proofErr w:type="spellEnd"/>
      <w:r w:rsidR="00A837F0" w:rsidRPr="00A837F0">
        <w:t xml:space="preserve"> L., </w:t>
      </w:r>
      <w:proofErr w:type="spellStart"/>
      <w:r w:rsidR="00A837F0" w:rsidRPr="00A837F0">
        <w:t>Placereani</w:t>
      </w:r>
      <w:proofErr w:type="spellEnd"/>
      <w:r w:rsidR="00A837F0" w:rsidRPr="00A837F0">
        <w:t xml:space="preserve"> S., (</w:t>
      </w:r>
      <w:r w:rsidRPr="00A837F0">
        <w:t>1998</w:t>
      </w:r>
      <w:r w:rsidR="00A837F0" w:rsidRPr="00A837F0">
        <w:t xml:space="preserve">), </w:t>
      </w:r>
      <w:proofErr w:type="spellStart"/>
      <w:r w:rsidR="00A837F0" w:rsidRPr="00A837F0">
        <w:rPr>
          <w:i/>
        </w:rPr>
        <w:t>Tracce</w:t>
      </w:r>
      <w:proofErr w:type="spellEnd"/>
      <w:r w:rsidR="00A837F0" w:rsidRPr="00A837F0">
        <w:rPr>
          <w:i/>
        </w:rPr>
        <w:t xml:space="preserve"> </w:t>
      </w:r>
      <w:proofErr w:type="spellStart"/>
      <w:r w:rsidR="00A837F0" w:rsidRPr="00A837F0">
        <w:rPr>
          <w:i/>
        </w:rPr>
        <w:t>polliniche</w:t>
      </w:r>
      <w:proofErr w:type="spellEnd"/>
      <w:r w:rsidR="00A837F0" w:rsidRPr="00A837F0">
        <w:rPr>
          <w:i/>
        </w:rPr>
        <w:t xml:space="preserve"> di </w:t>
      </w:r>
      <w:proofErr w:type="spellStart"/>
      <w:r w:rsidR="00A837F0" w:rsidRPr="00A837F0">
        <w:rPr>
          <w:i/>
        </w:rPr>
        <w:t>boschi</w:t>
      </w:r>
      <w:proofErr w:type="spellEnd"/>
      <w:r w:rsidR="00A837F0" w:rsidRPr="00A837F0">
        <w:rPr>
          <w:i/>
        </w:rPr>
        <w:t xml:space="preserve"> </w:t>
      </w:r>
      <w:proofErr w:type="spellStart"/>
      <w:r w:rsidR="00A837F0" w:rsidRPr="00A837F0">
        <w:rPr>
          <w:i/>
        </w:rPr>
        <w:t>neolitici</w:t>
      </w:r>
      <w:proofErr w:type="spellEnd"/>
      <w:r w:rsidR="00A837F0" w:rsidRPr="00A837F0">
        <w:rPr>
          <w:i/>
        </w:rPr>
        <w:t xml:space="preserve"> di </w:t>
      </w:r>
      <w:proofErr w:type="spellStart"/>
      <w:r w:rsidR="00A837F0" w:rsidRPr="00A837F0">
        <w:rPr>
          <w:i/>
        </w:rPr>
        <w:t>abete</w:t>
      </w:r>
      <w:proofErr w:type="spellEnd"/>
      <w:r w:rsidR="00A837F0" w:rsidRPr="00A837F0">
        <w:rPr>
          <w:i/>
        </w:rPr>
        <w:t xml:space="preserve"> </w:t>
      </w:r>
      <w:proofErr w:type="spellStart"/>
      <w:r w:rsidR="00A837F0" w:rsidRPr="00A837F0">
        <w:rPr>
          <w:i/>
        </w:rPr>
        <w:t>bianco</w:t>
      </w:r>
      <w:proofErr w:type="spellEnd"/>
      <w:r w:rsidR="00A837F0" w:rsidRPr="00A837F0">
        <w:rPr>
          <w:i/>
        </w:rPr>
        <w:t xml:space="preserve"> in Val </w:t>
      </w:r>
      <w:proofErr w:type="spellStart"/>
      <w:r w:rsidR="00A837F0" w:rsidRPr="00A837F0">
        <w:rPr>
          <w:i/>
        </w:rPr>
        <w:t>Bisagno</w:t>
      </w:r>
      <w:proofErr w:type="spellEnd"/>
      <w:r w:rsidR="00A837F0" w:rsidRPr="00A837F0">
        <w:rPr>
          <w:i/>
        </w:rPr>
        <w:t xml:space="preserve"> (area </w:t>
      </w:r>
      <w:proofErr w:type="spellStart"/>
      <w:r w:rsidR="00A837F0" w:rsidRPr="00A837F0">
        <w:rPr>
          <w:i/>
        </w:rPr>
        <w:t>urbana</w:t>
      </w:r>
      <w:proofErr w:type="spellEnd"/>
      <w:r w:rsidR="00A837F0" w:rsidRPr="00A837F0">
        <w:rPr>
          <w:i/>
        </w:rPr>
        <w:t xml:space="preserve"> di </w:t>
      </w:r>
      <w:proofErr w:type="spellStart"/>
      <w:r w:rsidR="00A837F0" w:rsidRPr="00A837F0">
        <w:rPr>
          <w:i/>
        </w:rPr>
        <w:t>Genova</w:t>
      </w:r>
      <w:proofErr w:type="spellEnd"/>
      <w:r w:rsidR="00A837F0" w:rsidRPr="00A837F0">
        <w:rPr>
          <w:i/>
        </w:rPr>
        <w:t>),</w:t>
      </w:r>
      <w:r w:rsidR="00A837F0" w:rsidRPr="00A837F0">
        <w:t xml:space="preserve"> &lt;&lt;</w:t>
      </w:r>
      <w:proofErr w:type="spellStart"/>
      <w:r w:rsidR="00A837F0" w:rsidRPr="00A837F0">
        <w:t>Biogeographia</w:t>
      </w:r>
      <w:proofErr w:type="spellEnd"/>
      <w:r w:rsidR="00A837F0" w:rsidRPr="00A837F0">
        <w:t xml:space="preserve">&gt;&gt;, 19, pp. 133-143. </w:t>
      </w:r>
    </w:p>
    <w:p w:rsidR="00A75E0B" w:rsidRDefault="00A75E0B" w:rsidP="003724E0">
      <w:pPr>
        <w:jc w:val="both"/>
      </w:pPr>
    </w:p>
    <w:p w:rsidR="005456E8" w:rsidRPr="00403791" w:rsidRDefault="005456E8" w:rsidP="003724E0">
      <w:pPr>
        <w:jc w:val="both"/>
      </w:pPr>
      <w:r w:rsidRPr="00403791">
        <w:t>Moore P</w:t>
      </w:r>
      <w:r w:rsidR="005B29D5">
        <w:t>.</w:t>
      </w:r>
      <w:r w:rsidRPr="00403791">
        <w:t>D</w:t>
      </w:r>
      <w:r w:rsidR="005B29D5">
        <w:t>.</w:t>
      </w:r>
      <w:r w:rsidRPr="00403791">
        <w:t>, Webb J</w:t>
      </w:r>
      <w:r w:rsidR="005B29D5">
        <w:t>.</w:t>
      </w:r>
      <w:r w:rsidRPr="00403791">
        <w:t>A</w:t>
      </w:r>
      <w:r w:rsidR="005B29D5">
        <w:t>.</w:t>
      </w:r>
      <w:r w:rsidRPr="00403791">
        <w:t>, Collinson M</w:t>
      </w:r>
      <w:r w:rsidR="005B29D5">
        <w:t>.</w:t>
      </w:r>
      <w:r w:rsidRPr="00403791">
        <w:t>E</w:t>
      </w:r>
      <w:r w:rsidR="005B29D5">
        <w:t>.,</w:t>
      </w:r>
      <w:r w:rsidRPr="00403791">
        <w:t xml:space="preserve"> (1991)</w:t>
      </w:r>
      <w:r w:rsidR="005B29D5">
        <w:t>,</w:t>
      </w:r>
      <w:r w:rsidRPr="00403791">
        <w:t xml:space="preserve"> </w:t>
      </w:r>
      <w:r w:rsidRPr="005B29D5">
        <w:rPr>
          <w:i/>
        </w:rPr>
        <w:t>Pollen Analysis</w:t>
      </w:r>
      <w:r w:rsidRPr="00403791">
        <w:t xml:space="preserve">. </w:t>
      </w:r>
      <w:r w:rsidR="005B29D5">
        <w:t>Oxford: Blackwell Science.</w:t>
      </w:r>
    </w:p>
    <w:p w:rsidR="00FB5D25" w:rsidRPr="00403791" w:rsidRDefault="00FB5D25" w:rsidP="003724E0">
      <w:pPr>
        <w:jc w:val="both"/>
      </w:pPr>
    </w:p>
    <w:p w:rsidR="00FB5D25" w:rsidRPr="00403791" w:rsidRDefault="00813FC4" w:rsidP="003724E0">
      <w:pPr>
        <w:jc w:val="both"/>
        <w:rPr>
          <w:lang w:val="fr-FR"/>
        </w:rPr>
      </w:pPr>
      <w:r>
        <w:t xml:space="preserve">Peyron O., Goring S., </w:t>
      </w:r>
      <w:proofErr w:type="spellStart"/>
      <w:r>
        <w:t>Dormoy</w:t>
      </w:r>
      <w:proofErr w:type="spellEnd"/>
      <w:r>
        <w:t xml:space="preserve"> I., </w:t>
      </w:r>
      <w:proofErr w:type="spellStart"/>
      <w:r>
        <w:t>Kotthoff</w:t>
      </w:r>
      <w:proofErr w:type="spellEnd"/>
      <w:r>
        <w:t xml:space="preserve"> U., </w:t>
      </w:r>
      <w:proofErr w:type="spellStart"/>
      <w:r>
        <w:t>Pross</w:t>
      </w:r>
      <w:proofErr w:type="spellEnd"/>
      <w:r>
        <w:t xml:space="preserve"> J., de Beaulieu J.-L., Drescher-Schneider R., </w:t>
      </w:r>
      <w:proofErr w:type="spellStart"/>
      <w:r>
        <w:t>Vannière</w:t>
      </w:r>
      <w:proofErr w:type="spellEnd"/>
      <w:r>
        <w:t xml:space="preserve"> B., Magny</w:t>
      </w:r>
      <w:r w:rsidR="00FB5D25" w:rsidRPr="00403791">
        <w:t xml:space="preserve"> M., </w:t>
      </w:r>
      <w:r>
        <w:t>(2011),</w:t>
      </w:r>
      <w:r w:rsidR="00FB5D25" w:rsidRPr="00403791">
        <w:t xml:space="preserve"> </w:t>
      </w:r>
      <w:r w:rsidR="00FB5D25" w:rsidRPr="00813FC4">
        <w:rPr>
          <w:i/>
        </w:rPr>
        <w:t xml:space="preserve">Holocene seasonality changes in the central Mediterranean region reconstructed from the pollen sequences of Lake </w:t>
      </w:r>
      <w:proofErr w:type="spellStart"/>
      <w:r w:rsidR="00FB5D25" w:rsidRPr="00813FC4">
        <w:rPr>
          <w:i/>
        </w:rPr>
        <w:t>Accesa</w:t>
      </w:r>
      <w:proofErr w:type="spellEnd"/>
      <w:r w:rsidR="00FB5D25" w:rsidRPr="00813FC4">
        <w:rPr>
          <w:i/>
        </w:rPr>
        <w:t xml:space="preserve"> (Italy)</w:t>
      </w:r>
      <w:r w:rsidRPr="00813FC4">
        <w:rPr>
          <w:i/>
        </w:rPr>
        <w:t xml:space="preserve"> and </w:t>
      </w:r>
      <w:proofErr w:type="spellStart"/>
      <w:r w:rsidRPr="00813FC4">
        <w:rPr>
          <w:i/>
        </w:rPr>
        <w:t>Tenaghi</w:t>
      </w:r>
      <w:proofErr w:type="spellEnd"/>
      <w:r w:rsidRPr="00813FC4">
        <w:rPr>
          <w:i/>
        </w:rPr>
        <w:t xml:space="preserve"> </w:t>
      </w:r>
      <w:proofErr w:type="spellStart"/>
      <w:r w:rsidRPr="00813FC4">
        <w:rPr>
          <w:i/>
        </w:rPr>
        <w:t>Philippon</w:t>
      </w:r>
      <w:proofErr w:type="spellEnd"/>
      <w:r w:rsidRPr="00813FC4">
        <w:rPr>
          <w:i/>
        </w:rPr>
        <w:t xml:space="preserve"> (Greece),</w:t>
      </w:r>
      <w:r w:rsidR="00FB5D25" w:rsidRPr="00813FC4">
        <w:rPr>
          <w:i/>
        </w:rPr>
        <w:t xml:space="preserve"> </w:t>
      </w:r>
      <w:r>
        <w:t>&lt;&lt;</w:t>
      </w:r>
      <w:r w:rsidR="00FB5D25" w:rsidRPr="00403791">
        <w:rPr>
          <w:lang w:val="fr-FR"/>
        </w:rPr>
        <w:t xml:space="preserve">The </w:t>
      </w:r>
      <w:proofErr w:type="spellStart"/>
      <w:r w:rsidR="00FB5D25" w:rsidRPr="00403791">
        <w:rPr>
          <w:lang w:val="fr-FR"/>
        </w:rPr>
        <w:t>Holocene</w:t>
      </w:r>
      <w:proofErr w:type="spellEnd"/>
      <w:r>
        <w:rPr>
          <w:lang w:val="fr-FR"/>
        </w:rPr>
        <w:t>&gt;&gt;,</w:t>
      </w:r>
      <w:r w:rsidR="00FB5D25" w:rsidRPr="00403791">
        <w:rPr>
          <w:lang w:val="fr-FR"/>
        </w:rPr>
        <w:t xml:space="preserve"> 21, </w:t>
      </w:r>
      <w:r>
        <w:rPr>
          <w:lang w:val="fr-FR"/>
        </w:rPr>
        <w:t xml:space="preserve">pp. </w:t>
      </w:r>
      <w:r w:rsidR="00FB5D25" w:rsidRPr="00403791">
        <w:rPr>
          <w:lang w:val="fr-FR"/>
        </w:rPr>
        <w:t>131-146.</w:t>
      </w:r>
    </w:p>
    <w:p w:rsidR="005456E8" w:rsidRPr="00403791" w:rsidRDefault="005456E8" w:rsidP="003724E0">
      <w:pPr>
        <w:jc w:val="both"/>
        <w:rPr>
          <w:lang w:val="fr-FR"/>
        </w:rPr>
      </w:pPr>
    </w:p>
    <w:p w:rsidR="005456E8" w:rsidRPr="00403791" w:rsidRDefault="005456E8" w:rsidP="003724E0">
      <w:pPr>
        <w:widowControl w:val="0"/>
        <w:autoSpaceDE w:val="0"/>
        <w:autoSpaceDN w:val="0"/>
        <w:adjustRightInd w:val="0"/>
        <w:jc w:val="both"/>
      </w:pPr>
      <w:r w:rsidRPr="00403791">
        <w:t>Reille M</w:t>
      </w:r>
      <w:r w:rsidR="00813FC4">
        <w:t>.,</w:t>
      </w:r>
      <w:r w:rsidRPr="00403791">
        <w:t xml:space="preserve"> (1992)</w:t>
      </w:r>
      <w:r w:rsidR="00813FC4">
        <w:t>,</w:t>
      </w:r>
      <w:r w:rsidRPr="00403791">
        <w:t xml:space="preserve"> </w:t>
      </w:r>
      <w:r w:rsidRPr="00813FC4">
        <w:rPr>
          <w:i/>
          <w:iCs/>
        </w:rPr>
        <w:t xml:space="preserve">Pollen et spores </w:t>
      </w:r>
      <w:proofErr w:type="spellStart"/>
      <w:r w:rsidRPr="00813FC4">
        <w:rPr>
          <w:i/>
          <w:iCs/>
        </w:rPr>
        <w:t>D'Europe</w:t>
      </w:r>
      <w:proofErr w:type="spellEnd"/>
      <w:r w:rsidRPr="00813FC4">
        <w:rPr>
          <w:i/>
          <w:iCs/>
        </w:rPr>
        <w:t xml:space="preserve"> et </w:t>
      </w:r>
      <w:proofErr w:type="spellStart"/>
      <w:r w:rsidRPr="00813FC4">
        <w:rPr>
          <w:i/>
          <w:iCs/>
        </w:rPr>
        <w:t>D'Afrique</w:t>
      </w:r>
      <w:proofErr w:type="spellEnd"/>
      <w:r w:rsidRPr="00813FC4">
        <w:rPr>
          <w:i/>
          <w:iCs/>
        </w:rPr>
        <w:t xml:space="preserve"> du Nord</w:t>
      </w:r>
      <w:r w:rsidR="00813FC4">
        <w:t xml:space="preserve">, Marseille: </w:t>
      </w:r>
      <w:proofErr w:type="spellStart"/>
      <w:r w:rsidRPr="00403791">
        <w:t>Laboratoire</w:t>
      </w:r>
      <w:proofErr w:type="spellEnd"/>
      <w:r w:rsidRPr="00403791">
        <w:t xml:space="preserve"> de </w:t>
      </w:r>
      <w:proofErr w:type="spellStart"/>
      <w:r w:rsidRPr="00403791">
        <w:t>Botanique</w:t>
      </w:r>
      <w:proofErr w:type="spellEnd"/>
      <w:r w:rsidRPr="00403791">
        <w:t xml:space="preserve"> </w:t>
      </w:r>
      <w:proofErr w:type="spellStart"/>
      <w:r w:rsidRPr="00403791">
        <w:t>Hist</w:t>
      </w:r>
      <w:r w:rsidR="00813FC4">
        <w:t>orique</w:t>
      </w:r>
      <w:proofErr w:type="spellEnd"/>
      <w:r w:rsidR="00813FC4">
        <w:t xml:space="preserve"> et </w:t>
      </w:r>
      <w:proofErr w:type="spellStart"/>
      <w:r w:rsidR="00813FC4">
        <w:t>Palynologie</w:t>
      </w:r>
      <w:proofErr w:type="spellEnd"/>
      <w:r w:rsidR="00813FC4">
        <w:t>.</w:t>
      </w:r>
    </w:p>
    <w:p w:rsidR="00333F49" w:rsidRPr="00403791" w:rsidRDefault="00333F49" w:rsidP="003724E0">
      <w:pPr>
        <w:widowControl w:val="0"/>
        <w:autoSpaceDE w:val="0"/>
        <w:autoSpaceDN w:val="0"/>
        <w:adjustRightInd w:val="0"/>
        <w:jc w:val="both"/>
      </w:pPr>
    </w:p>
    <w:p w:rsidR="00333F49" w:rsidRPr="00403791" w:rsidRDefault="00333F49" w:rsidP="003724E0">
      <w:pPr>
        <w:widowControl w:val="0"/>
        <w:autoSpaceDE w:val="0"/>
        <w:autoSpaceDN w:val="0"/>
        <w:adjustRightInd w:val="0"/>
        <w:jc w:val="both"/>
      </w:pPr>
      <w:r w:rsidRPr="00403791">
        <w:t>Reimer P</w:t>
      </w:r>
      <w:r w:rsidR="00813FC4">
        <w:t>.</w:t>
      </w:r>
      <w:r w:rsidRPr="00403791">
        <w:t xml:space="preserve">J, </w:t>
      </w:r>
      <w:proofErr w:type="spellStart"/>
      <w:r w:rsidRPr="00403791">
        <w:t>Baille</w:t>
      </w:r>
      <w:proofErr w:type="spellEnd"/>
      <w:r w:rsidRPr="00403791">
        <w:t xml:space="preserve"> M</w:t>
      </w:r>
      <w:r w:rsidR="00813FC4">
        <w:t>.</w:t>
      </w:r>
      <w:r w:rsidRPr="00403791">
        <w:t>G</w:t>
      </w:r>
      <w:r w:rsidR="00813FC4">
        <w:t>.</w:t>
      </w:r>
      <w:r w:rsidRPr="00403791">
        <w:t>L</w:t>
      </w:r>
      <w:r w:rsidR="00813FC4">
        <w:t>.</w:t>
      </w:r>
      <w:r w:rsidRPr="00403791">
        <w:t>, Bard E</w:t>
      </w:r>
      <w:r w:rsidR="00813FC4">
        <w:t>.</w:t>
      </w:r>
      <w:r w:rsidRPr="00403791">
        <w:t xml:space="preserve">, </w:t>
      </w:r>
      <w:proofErr w:type="spellStart"/>
      <w:r w:rsidRPr="00403791">
        <w:t>Bayliss</w:t>
      </w:r>
      <w:proofErr w:type="spellEnd"/>
      <w:r w:rsidRPr="00403791">
        <w:t xml:space="preserve"> A</w:t>
      </w:r>
      <w:r w:rsidR="00813FC4">
        <w:t>.</w:t>
      </w:r>
      <w:r w:rsidRPr="00403791">
        <w:t>, Beck J</w:t>
      </w:r>
      <w:r w:rsidR="00813FC4">
        <w:t>.</w:t>
      </w:r>
      <w:r w:rsidRPr="00403791">
        <w:t>W</w:t>
      </w:r>
      <w:r w:rsidR="00813FC4">
        <w:t>.</w:t>
      </w:r>
      <w:r w:rsidRPr="00403791">
        <w:t>, Bertrand C</w:t>
      </w:r>
      <w:r w:rsidR="00813FC4">
        <w:t>.</w:t>
      </w:r>
      <w:r w:rsidRPr="00403791">
        <w:t>J</w:t>
      </w:r>
      <w:r w:rsidR="00813FC4">
        <w:t>.</w:t>
      </w:r>
      <w:r w:rsidRPr="00403791">
        <w:t>H</w:t>
      </w:r>
      <w:r w:rsidR="00813FC4">
        <w:t>.</w:t>
      </w:r>
      <w:r w:rsidRPr="00403791">
        <w:t>, Blackwell P</w:t>
      </w:r>
      <w:r w:rsidR="00813FC4">
        <w:t>.</w:t>
      </w:r>
      <w:r w:rsidRPr="00403791">
        <w:t>G</w:t>
      </w:r>
      <w:r w:rsidR="00813FC4">
        <w:t>.</w:t>
      </w:r>
      <w:r w:rsidRPr="00403791">
        <w:t>, Buck C</w:t>
      </w:r>
      <w:r w:rsidR="00813FC4">
        <w:t>.</w:t>
      </w:r>
      <w:r w:rsidRPr="00403791">
        <w:t>E</w:t>
      </w:r>
      <w:r w:rsidR="00813FC4">
        <w:t>.</w:t>
      </w:r>
      <w:r w:rsidRPr="00403791">
        <w:t>, Burr G</w:t>
      </w:r>
      <w:r w:rsidR="00813FC4">
        <w:t>.</w:t>
      </w:r>
      <w:r w:rsidRPr="00403791">
        <w:t>S</w:t>
      </w:r>
      <w:r w:rsidR="00813FC4">
        <w:t>.</w:t>
      </w:r>
      <w:r w:rsidRPr="00403791">
        <w:t>, Cutler K</w:t>
      </w:r>
      <w:r w:rsidR="00813FC4">
        <w:t>.</w:t>
      </w:r>
      <w:r w:rsidRPr="00403791">
        <w:t>B</w:t>
      </w:r>
      <w:r w:rsidR="00813FC4">
        <w:t>.</w:t>
      </w:r>
      <w:r w:rsidRPr="00403791">
        <w:t>, Damon P</w:t>
      </w:r>
      <w:r w:rsidR="00813FC4">
        <w:t>.</w:t>
      </w:r>
      <w:r w:rsidRPr="00403791">
        <w:t>E</w:t>
      </w:r>
      <w:r w:rsidR="00813FC4">
        <w:t>.</w:t>
      </w:r>
      <w:r w:rsidRPr="00403791">
        <w:t>, Edwards R</w:t>
      </w:r>
      <w:r w:rsidR="00813FC4">
        <w:t>.</w:t>
      </w:r>
      <w:r w:rsidRPr="00403791">
        <w:t>L</w:t>
      </w:r>
      <w:r w:rsidR="00813FC4">
        <w:t>.</w:t>
      </w:r>
      <w:r w:rsidRPr="00403791">
        <w:t>, Fairbanks R</w:t>
      </w:r>
      <w:r w:rsidR="00813FC4">
        <w:t>.</w:t>
      </w:r>
      <w:r w:rsidRPr="00403791">
        <w:t>G</w:t>
      </w:r>
      <w:r w:rsidR="00813FC4">
        <w:t>.</w:t>
      </w:r>
      <w:r w:rsidRPr="00403791">
        <w:t>, Friedrich M</w:t>
      </w:r>
      <w:r w:rsidR="00813FC4">
        <w:t>.</w:t>
      </w:r>
      <w:r w:rsidRPr="00403791">
        <w:t xml:space="preserve">, </w:t>
      </w:r>
      <w:proofErr w:type="spellStart"/>
      <w:r w:rsidRPr="00403791">
        <w:lastRenderedPageBreak/>
        <w:t>Guilderson</w:t>
      </w:r>
      <w:proofErr w:type="spellEnd"/>
      <w:r w:rsidRPr="00403791">
        <w:t xml:space="preserve"> T</w:t>
      </w:r>
      <w:r w:rsidR="00813FC4">
        <w:t>.</w:t>
      </w:r>
      <w:r w:rsidRPr="00403791">
        <w:t>P</w:t>
      </w:r>
      <w:r w:rsidR="00813FC4">
        <w:t>.</w:t>
      </w:r>
      <w:r w:rsidRPr="00403791">
        <w:t>, Hogg A</w:t>
      </w:r>
      <w:r w:rsidR="00813FC4">
        <w:t>.</w:t>
      </w:r>
      <w:r w:rsidRPr="00403791">
        <w:t>G</w:t>
      </w:r>
      <w:r w:rsidR="00813FC4">
        <w:t>.</w:t>
      </w:r>
      <w:r w:rsidRPr="00403791">
        <w:t xml:space="preserve">, </w:t>
      </w:r>
      <w:proofErr w:type="spellStart"/>
      <w:r w:rsidRPr="00403791">
        <w:t>Hughen</w:t>
      </w:r>
      <w:proofErr w:type="spellEnd"/>
      <w:r w:rsidRPr="00403791">
        <w:t xml:space="preserve"> K</w:t>
      </w:r>
      <w:r w:rsidR="00813FC4">
        <w:t>.</w:t>
      </w:r>
      <w:r w:rsidRPr="00403791">
        <w:t>A</w:t>
      </w:r>
      <w:r w:rsidR="00813FC4">
        <w:t>.</w:t>
      </w:r>
      <w:r w:rsidRPr="00403791">
        <w:t>, Kromer B</w:t>
      </w:r>
      <w:r w:rsidR="00813FC4">
        <w:t>.</w:t>
      </w:r>
      <w:r w:rsidRPr="00403791">
        <w:t xml:space="preserve">, </w:t>
      </w:r>
      <w:proofErr w:type="spellStart"/>
      <w:r w:rsidRPr="00403791">
        <w:t>McCormac</w:t>
      </w:r>
      <w:proofErr w:type="spellEnd"/>
      <w:r w:rsidRPr="00403791">
        <w:t xml:space="preserve"> G</w:t>
      </w:r>
      <w:r w:rsidR="00813FC4">
        <w:t>.</w:t>
      </w:r>
      <w:r w:rsidRPr="00403791">
        <w:t>, Manning S</w:t>
      </w:r>
      <w:r w:rsidR="00813FC4">
        <w:t>.</w:t>
      </w:r>
      <w:r w:rsidRPr="00403791">
        <w:t>, Bronk Ramsey C</w:t>
      </w:r>
      <w:r w:rsidR="00813FC4">
        <w:t>.</w:t>
      </w:r>
      <w:r w:rsidRPr="00403791">
        <w:t>, Reimer R</w:t>
      </w:r>
      <w:r w:rsidR="00813FC4">
        <w:t>.</w:t>
      </w:r>
      <w:r w:rsidRPr="00403791">
        <w:t>W</w:t>
      </w:r>
      <w:r w:rsidR="00813FC4">
        <w:t>.</w:t>
      </w:r>
      <w:r w:rsidRPr="00403791">
        <w:t xml:space="preserve">, </w:t>
      </w:r>
      <w:proofErr w:type="spellStart"/>
      <w:r w:rsidRPr="00403791">
        <w:t>Remelle</w:t>
      </w:r>
      <w:proofErr w:type="spellEnd"/>
      <w:r w:rsidRPr="00403791">
        <w:t xml:space="preserve"> S</w:t>
      </w:r>
      <w:r w:rsidR="00813FC4">
        <w:t>.</w:t>
      </w:r>
      <w:r w:rsidRPr="00403791">
        <w:t xml:space="preserve">, </w:t>
      </w:r>
      <w:proofErr w:type="spellStart"/>
      <w:r w:rsidRPr="00403791">
        <w:t>Southon</w:t>
      </w:r>
      <w:proofErr w:type="spellEnd"/>
      <w:r w:rsidRPr="00403791">
        <w:t xml:space="preserve"> J</w:t>
      </w:r>
      <w:r w:rsidR="00813FC4">
        <w:t>.</w:t>
      </w:r>
      <w:r w:rsidRPr="00403791">
        <w:t>R</w:t>
      </w:r>
      <w:r w:rsidR="00813FC4">
        <w:t>.</w:t>
      </w:r>
      <w:r w:rsidRPr="00403791">
        <w:t xml:space="preserve">, </w:t>
      </w:r>
      <w:proofErr w:type="spellStart"/>
      <w:r w:rsidRPr="00403791">
        <w:t>Stuiver</w:t>
      </w:r>
      <w:proofErr w:type="spellEnd"/>
      <w:r w:rsidRPr="00403791">
        <w:t xml:space="preserve"> M</w:t>
      </w:r>
      <w:r w:rsidR="00813FC4">
        <w:t>.</w:t>
      </w:r>
      <w:r w:rsidRPr="00403791">
        <w:t xml:space="preserve">, </w:t>
      </w:r>
      <w:proofErr w:type="spellStart"/>
      <w:r w:rsidRPr="00403791">
        <w:t>Talamo</w:t>
      </w:r>
      <w:proofErr w:type="spellEnd"/>
      <w:r w:rsidRPr="00403791">
        <w:t xml:space="preserve"> S</w:t>
      </w:r>
      <w:r w:rsidR="00813FC4">
        <w:t>.</w:t>
      </w:r>
      <w:r w:rsidRPr="00403791">
        <w:t>, Taylor F</w:t>
      </w:r>
      <w:r w:rsidR="00813FC4">
        <w:t>.</w:t>
      </w:r>
      <w:r w:rsidRPr="00403791">
        <w:t>W</w:t>
      </w:r>
      <w:r w:rsidR="00813FC4">
        <w:t>.</w:t>
      </w:r>
      <w:r w:rsidRPr="00403791">
        <w:t xml:space="preserve">, Van der </w:t>
      </w:r>
      <w:proofErr w:type="spellStart"/>
      <w:r w:rsidRPr="00403791">
        <w:t>Plicht</w:t>
      </w:r>
      <w:proofErr w:type="spellEnd"/>
      <w:r w:rsidRPr="00403791">
        <w:t xml:space="preserve"> J</w:t>
      </w:r>
      <w:r w:rsidR="00813FC4">
        <w:t>.</w:t>
      </w:r>
      <w:r w:rsidRPr="00403791">
        <w:t xml:space="preserve">, </w:t>
      </w:r>
      <w:proofErr w:type="spellStart"/>
      <w:r w:rsidRPr="00403791">
        <w:t>Weyhenmeyer</w:t>
      </w:r>
      <w:proofErr w:type="spellEnd"/>
      <w:r w:rsidRPr="00403791">
        <w:t xml:space="preserve"> C</w:t>
      </w:r>
      <w:r w:rsidR="00813FC4">
        <w:t>.</w:t>
      </w:r>
      <w:r w:rsidRPr="00403791">
        <w:t>E</w:t>
      </w:r>
      <w:r w:rsidR="00813FC4">
        <w:t>.,</w:t>
      </w:r>
      <w:r w:rsidRPr="00403791">
        <w:t xml:space="preserve"> (2004)</w:t>
      </w:r>
      <w:r w:rsidR="00813FC4">
        <w:t>,</w:t>
      </w:r>
      <w:r w:rsidRPr="00813FC4">
        <w:rPr>
          <w:i/>
        </w:rPr>
        <w:t xml:space="preserve"> IntCal04 terrestrial radiocarbon ag</w:t>
      </w:r>
      <w:r w:rsidR="00813FC4" w:rsidRPr="00813FC4">
        <w:rPr>
          <w:i/>
        </w:rPr>
        <w:t xml:space="preserve">e calibration, 0-26 cal </w:t>
      </w:r>
      <w:proofErr w:type="spellStart"/>
      <w:r w:rsidR="00813FC4" w:rsidRPr="00813FC4">
        <w:rPr>
          <w:i/>
        </w:rPr>
        <w:t>kyr</w:t>
      </w:r>
      <w:proofErr w:type="spellEnd"/>
      <w:r w:rsidR="00813FC4" w:rsidRPr="00813FC4">
        <w:rPr>
          <w:i/>
        </w:rPr>
        <w:t xml:space="preserve"> BP</w:t>
      </w:r>
      <w:r w:rsidR="00813FC4">
        <w:t>, &lt;&lt;</w:t>
      </w:r>
      <w:r w:rsidRPr="00403791">
        <w:rPr>
          <w:iCs/>
        </w:rPr>
        <w:t>Radiocarbon</w:t>
      </w:r>
      <w:r w:rsidR="00813FC4">
        <w:rPr>
          <w:iCs/>
        </w:rPr>
        <w:t>&gt;&gt;,</w:t>
      </w:r>
      <w:r w:rsidRPr="00403791">
        <w:rPr>
          <w:i/>
          <w:iCs/>
        </w:rPr>
        <w:t xml:space="preserve"> </w:t>
      </w:r>
      <w:r w:rsidR="00813FC4">
        <w:t xml:space="preserve">46 (3), pp. </w:t>
      </w:r>
      <w:r w:rsidRPr="00403791">
        <w:t>1029-1058</w:t>
      </w:r>
      <w:r w:rsidR="00813FC4">
        <w:t>.</w:t>
      </w:r>
    </w:p>
    <w:p w:rsidR="00F946C8" w:rsidRPr="00403791" w:rsidRDefault="00F946C8" w:rsidP="003724E0">
      <w:pPr>
        <w:jc w:val="both"/>
        <w:rPr>
          <w:lang w:val="fr-FR"/>
        </w:rPr>
      </w:pPr>
    </w:p>
    <w:p w:rsidR="00037972" w:rsidRPr="00403791" w:rsidRDefault="00037972" w:rsidP="003724E0">
      <w:pPr>
        <w:jc w:val="both"/>
      </w:pPr>
      <w:r w:rsidRPr="00403791">
        <w:t>Renssen H</w:t>
      </w:r>
      <w:r w:rsidR="00813FC4">
        <w:t>.</w:t>
      </w:r>
      <w:r w:rsidRPr="00403791">
        <w:t xml:space="preserve">, </w:t>
      </w:r>
      <w:proofErr w:type="spellStart"/>
      <w:r w:rsidRPr="00403791">
        <w:t>Seppä</w:t>
      </w:r>
      <w:proofErr w:type="spellEnd"/>
      <w:r w:rsidRPr="00403791">
        <w:t xml:space="preserve"> H</w:t>
      </w:r>
      <w:r w:rsidR="00813FC4">
        <w:t>.</w:t>
      </w:r>
      <w:r w:rsidRPr="00403791">
        <w:t xml:space="preserve">, </w:t>
      </w:r>
      <w:proofErr w:type="spellStart"/>
      <w:r w:rsidRPr="00403791">
        <w:t>Crosta</w:t>
      </w:r>
      <w:proofErr w:type="spellEnd"/>
      <w:r w:rsidRPr="00403791">
        <w:t xml:space="preserve"> X</w:t>
      </w:r>
      <w:r w:rsidR="00813FC4">
        <w:t>.</w:t>
      </w:r>
      <w:r w:rsidRPr="00403791">
        <w:t xml:space="preserve">, </w:t>
      </w:r>
      <w:proofErr w:type="spellStart"/>
      <w:r w:rsidRPr="00403791">
        <w:t>Goosse</w:t>
      </w:r>
      <w:proofErr w:type="spellEnd"/>
      <w:r w:rsidRPr="00403791">
        <w:t xml:space="preserve"> H</w:t>
      </w:r>
      <w:r w:rsidR="00813FC4">
        <w:t>.</w:t>
      </w:r>
      <w:r w:rsidRPr="00403791">
        <w:t>, Roche D</w:t>
      </w:r>
      <w:r w:rsidR="00813FC4">
        <w:t>.</w:t>
      </w:r>
      <w:r w:rsidRPr="00403791">
        <w:t>M</w:t>
      </w:r>
      <w:r w:rsidR="00813FC4">
        <w:t>.,</w:t>
      </w:r>
      <w:r w:rsidRPr="00403791">
        <w:t xml:space="preserve"> (2012)</w:t>
      </w:r>
      <w:r w:rsidR="00813FC4">
        <w:t>,</w:t>
      </w:r>
      <w:r w:rsidRPr="00403791">
        <w:t xml:space="preserve"> </w:t>
      </w:r>
      <w:r w:rsidRPr="00DC3A3E">
        <w:rPr>
          <w:i/>
        </w:rPr>
        <w:t xml:space="preserve">Global characterization </w:t>
      </w:r>
      <w:r w:rsidR="00DC3A3E" w:rsidRPr="00DC3A3E">
        <w:rPr>
          <w:i/>
        </w:rPr>
        <w:t>of the Holocene Thermal Maximum</w:t>
      </w:r>
      <w:r w:rsidR="00DC3A3E">
        <w:t>,</w:t>
      </w:r>
      <w:r w:rsidRPr="00403791">
        <w:t xml:space="preserve"> </w:t>
      </w:r>
      <w:r w:rsidR="00DC3A3E">
        <w:t>&lt;&lt;</w:t>
      </w:r>
      <w:r w:rsidRPr="00403791">
        <w:t>Quaternary Science Reviews</w:t>
      </w:r>
      <w:r w:rsidR="00DC3A3E">
        <w:t xml:space="preserve">&gt;&gt;, 48, pp. </w:t>
      </w:r>
      <w:r w:rsidRPr="00403791">
        <w:t>7-19</w:t>
      </w:r>
      <w:r w:rsidR="00DC3A3E">
        <w:t>.</w:t>
      </w:r>
    </w:p>
    <w:p w:rsidR="00037972" w:rsidRPr="00403791" w:rsidRDefault="00037972" w:rsidP="003724E0">
      <w:pPr>
        <w:jc w:val="both"/>
      </w:pPr>
    </w:p>
    <w:p w:rsidR="00E21759" w:rsidRPr="00403791" w:rsidRDefault="00E21759" w:rsidP="003724E0">
      <w:pPr>
        <w:jc w:val="both"/>
      </w:pPr>
      <w:r w:rsidRPr="00403791">
        <w:t>Roberts N</w:t>
      </w:r>
      <w:r w:rsidR="00DC3A3E">
        <w:t>.</w:t>
      </w:r>
      <w:r w:rsidRPr="00403791">
        <w:t>, Jones M</w:t>
      </w:r>
      <w:r w:rsidR="00DC3A3E">
        <w:t>.</w:t>
      </w:r>
      <w:r w:rsidRPr="00403791">
        <w:t>D</w:t>
      </w:r>
      <w:r w:rsidR="00DC3A3E">
        <w:t>.</w:t>
      </w:r>
      <w:r w:rsidRPr="00403791">
        <w:t xml:space="preserve">, </w:t>
      </w:r>
      <w:proofErr w:type="spellStart"/>
      <w:r w:rsidRPr="00403791">
        <w:t>Benkaddour</w:t>
      </w:r>
      <w:proofErr w:type="spellEnd"/>
      <w:r w:rsidRPr="00403791">
        <w:t xml:space="preserve"> A</w:t>
      </w:r>
      <w:r w:rsidR="00DC3A3E">
        <w:t>.</w:t>
      </w:r>
      <w:r w:rsidRPr="00403791">
        <w:t>, Eastwood W</w:t>
      </w:r>
      <w:r w:rsidR="00DC3A3E">
        <w:t>.</w:t>
      </w:r>
      <w:r w:rsidRPr="00403791">
        <w:t>J</w:t>
      </w:r>
      <w:r w:rsidR="00DC3A3E">
        <w:t>.</w:t>
      </w:r>
      <w:r w:rsidRPr="00403791">
        <w:t xml:space="preserve">, </w:t>
      </w:r>
      <w:proofErr w:type="spellStart"/>
      <w:r w:rsidRPr="00403791">
        <w:t>Filippi</w:t>
      </w:r>
      <w:proofErr w:type="spellEnd"/>
      <w:r w:rsidRPr="00403791">
        <w:t xml:space="preserve"> M</w:t>
      </w:r>
      <w:r w:rsidR="00DC3A3E">
        <w:t>.</w:t>
      </w:r>
      <w:r w:rsidRPr="00403791">
        <w:t>L</w:t>
      </w:r>
      <w:r w:rsidR="00DC3A3E">
        <w:t>.</w:t>
      </w:r>
      <w:r w:rsidRPr="00403791">
        <w:t xml:space="preserve">, </w:t>
      </w:r>
      <w:proofErr w:type="spellStart"/>
      <w:r w:rsidRPr="00403791">
        <w:t>Frogley</w:t>
      </w:r>
      <w:proofErr w:type="spellEnd"/>
      <w:r w:rsidRPr="00403791">
        <w:t xml:space="preserve"> M</w:t>
      </w:r>
      <w:r w:rsidR="00DC3A3E">
        <w:t>.</w:t>
      </w:r>
      <w:r w:rsidRPr="00403791">
        <w:t>R</w:t>
      </w:r>
      <w:r w:rsidR="00DC3A3E">
        <w:t>.</w:t>
      </w:r>
      <w:r w:rsidRPr="00403791">
        <w:t>, Lamb H</w:t>
      </w:r>
      <w:r w:rsidR="00DC3A3E">
        <w:t>.</w:t>
      </w:r>
      <w:r w:rsidRPr="00403791">
        <w:t>F</w:t>
      </w:r>
      <w:r w:rsidR="00DC3A3E">
        <w:t>.</w:t>
      </w:r>
      <w:r w:rsidRPr="00403791">
        <w:t xml:space="preserve">, </w:t>
      </w:r>
      <w:proofErr w:type="spellStart"/>
      <w:r w:rsidRPr="00403791">
        <w:t>Leng</w:t>
      </w:r>
      <w:proofErr w:type="spellEnd"/>
      <w:r w:rsidRPr="00403791">
        <w:t xml:space="preserve"> M</w:t>
      </w:r>
      <w:r w:rsidR="00DC3A3E">
        <w:t>.</w:t>
      </w:r>
      <w:r w:rsidRPr="00403791">
        <w:t>J</w:t>
      </w:r>
      <w:r w:rsidR="00DC3A3E">
        <w:t>.</w:t>
      </w:r>
      <w:r w:rsidRPr="00403791">
        <w:t>, Reed J</w:t>
      </w:r>
      <w:r w:rsidR="00DC3A3E">
        <w:t>.</w:t>
      </w:r>
      <w:r w:rsidRPr="00403791">
        <w:t>M</w:t>
      </w:r>
      <w:r w:rsidR="00DC3A3E">
        <w:t>.</w:t>
      </w:r>
      <w:r w:rsidRPr="00403791">
        <w:t>, Stein M</w:t>
      </w:r>
      <w:r w:rsidR="00DC3A3E">
        <w:t>.</w:t>
      </w:r>
      <w:r w:rsidRPr="00403791">
        <w:t>, Stevens L</w:t>
      </w:r>
      <w:r w:rsidR="00DC3A3E">
        <w:t>.</w:t>
      </w:r>
      <w:r w:rsidRPr="00403791">
        <w:t>, Valero-</w:t>
      </w:r>
      <w:proofErr w:type="spellStart"/>
      <w:r w:rsidRPr="00403791">
        <w:t>Garcés</w:t>
      </w:r>
      <w:proofErr w:type="spellEnd"/>
      <w:r w:rsidRPr="00403791">
        <w:t xml:space="preserve"> V</w:t>
      </w:r>
      <w:r w:rsidR="00DC3A3E">
        <w:t>.</w:t>
      </w:r>
      <w:r w:rsidRPr="00403791">
        <w:t xml:space="preserve">, </w:t>
      </w:r>
      <w:proofErr w:type="spellStart"/>
      <w:r w:rsidRPr="00403791">
        <w:t>Zanchetta</w:t>
      </w:r>
      <w:proofErr w:type="spellEnd"/>
      <w:r w:rsidRPr="00403791">
        <w:t xml:space="preserve"> G</w:t>
      </w:r>
      <w:r w:rsidR="00DC3A3E">
        <w:t>.,</w:t>
      </w:r>
      <w:r w:rsidRPr="00403791">
        <w:t xml:space="preserve"> (2008)</w:t>
      </w:r>
      <w:r w:rsidR="00DC3A3E">
        <w:t>,</w:t>
      </w:r>
      <w:r w:rsidRPr="00403791">
        <w:t xml:space="preserve"> </w:t>
      </w:r>
      <w:r w:rsidRPr="00DC3A3E">
        <w:rPr>
          <w:i/>
        </w:rPr>
        <w:t>Stable isotope records of Late Quaternary climate and hydrology from Mediterran</w:t>
      </w:r>
      <w:r w:rsidR="00DC3A3E" w:rsidRPr="00DC3A3E">
        <w:rPr>
          <w:i/>
        </w:rPr>
        <w:t>ean lakes: the ISOMED synthesis</w:t>
      </w:r>
      <w:r w:rsidR="00DC3A3E">
        <w:t>,</w:t>
      </w:r>
      <w:r w:rsidRPr="00403791">
        <w:t xml:space="preserve"> </w:t>
      </w:r>
      <w:r w:rsidR="00DC3A3E">
        <w:t>&lt;&lt;</w:t>
      </w:r>
      <w:r w:rsidRPr="00403791">
        <w:t>Quaternary Science Reviews</w:t>
      </w:r>
      <w:r w:rsidR="00DC3A3E">
        <w:t xml:space="preserve">&gt;&gt;, 27, pp. </w:t>
      </w:r>
      <w:r w:rsidRPr="00403791">
        <w:t>2426-2441</w:t>
      </w:r>
      <w:r w:rsidR="00DC3A3E">
        <w:t>.</w:t>
      </w:r>
    </w:p>
    <w:p w:rsidR="005456E8" w:rsidRPr="00403791" w:rsidRDefault="005456E8" w:rsidP="003724E0">
      <w:pPr>
        <w:jc w:val="both"/>
      </w:pPr>
    </w:p>
    <w:p w:rsidR="005456E8" w:rsidRPr="00403791" w:rsidRDefault="005456E8" w:rsidP="003724E0">
      <w:pPr>
        <w:jc w:val="both"/>
      </w:pPr>
      <w:r w:rsidRPr="00403791">
        <w:t>Stuiver M</w:t>
      </w:r>
      <w:r w:rsidR="00DC3A3E">
        <w:t>.</w:t>
      </w:r>
      <w:r w:rsidRPr="00403791">
        <w:t>, Reimer P</w:t>
      </w:r>
      <w:r w:rsidR="00DC3A3E">
        <w:t>.</w:t>
      </w:r>
      <w:r w:rsidRPr="00403791">
        <w:t>J</w:t>
      </w:r>
      <w:r w:rsidR="00DC3A3E">
        <w:t>.,</w:t>
      </w:r>
      <w:r w:rsidRPr="00403791">
        <w:t xml:space="preserve"> (1986)</w:t>
      </w:r>
      <w:r w:rsidR="00DC3A3E">
        <w:t>,</w:t>
      </w:r>
      <w:r w:rsidRPr="00403791">
        <w:t xml:space="preserve"> </w:t>
      </w:r>
      <w:r w:rsidRPr="00DC3A3E">
        <w:rPr>
          <w:i/>
        </w:rPr>
        <w:t>A computer program f</w:t>
      </w:r>
      <w:r w:rsidR="00DC3A3E" w:rsidRPr="00DC3A3E">
        <w:rPr>
          <w:i/>
        </w:rPr>
        <w:t>or radiocarbon age calculation</w:t>
      </w:r>
      <w:r w:rsidR="00DC3A3E">
        <w:t>, &lt;&lt;</w:t>
      </w:r>
      <w:r w:rsidRPr="00403791">
        <w:rPr>
          <w:iCs/>
        </w:rPr>
        <w:t>Radiocarbon</w:t>
      </w:r>
      <w:r w:rsidR="00DC3A3E">
        <w:rPr>
          <w:iCs/>
        </w:rPr>
        <w:t>&gt;&gt;,</w:t>
      </w:r>
      <w:r w:rsidRPr="00403791">
        <w:rPr>
          <w:iCs/>
        </w:rPr>
        <w:t xml:space="preserve"> </w:t>
      </w:r>
      <w:r w:rsidRPr="00403791">
        <w:rPr>
          <w:bCs/>
        </w:rPr>
        <w:t>28</w:t>
      </w:r>
      <w:r w:rsidR="00DC3A3E">
        <w:t xml:space="preserve">(2B), pp. </w:t>
      </w:r>
      <w:r w:rsidRPr="00403791">
        <w:t>1022-1030</w:t>
      </w:r>
      <w:r w:rsidR="00DC3A3E">
        <w:t>.</w:t>
      </w:r>
    </w:p>
    <w:p w:rsidR="00E92091" w:rsidRPr="00403791" w:rsidRDefault="00E92091" w:rsidP="003724E0">
      <w:pPr>
        <w:jc w:val="both"/>
      </w:pPr>
    </w:p>
    <w:p w:rsidR="00E92091" w:rsidRPr="00403791" w:rsidRDefault="00E92091" w:rsidP="003724E0">
      <w:pPr>
        <w:jc w:val="both"/>
      </w:pPr>
      <w:r w:rsidRPr="00403791">
        <w:t>Troels-Smith J</w:t>
      </w:r>
      <w:r w:rsidR="00DC3A3E">
        <w:t>.,</w:t>
      </w:r>
      <w:r w:rsidRPr="00403791">
        <w:t xml:space="preserve"> (1955)</w:t>
      </w:r>
      <w:r w:rsidR="00DC3A3E">
        <w:t>,</w:t>
      </w:r>
      <w:r w:rsidRPr="00403791">
        <w:t xml:space="preserve"> </w:t>
      </w:r>
      <w:proofErr w:type="spellStart"/>
      <w:r w:rsidRPr="00DC3A3E">
        <w:rPr>
          <w:i/>
        </w:rPr>
        <w:t>Karakterisering</w:t>
      </w:r>
      <w:proofErr w:type="spellEnd"/>
      <w:r w:rsidRPr="00DC3A3E">
        <w:rPr>
          <w:i/>
        </w:rPr>
        <w:t xml:space="preserve"> </w:t>
      </w:r>
      <w:proofErr w:type="spellStart"/>
      <w:r w:rsidRPr="00DC3A3E">
        <w:rPr>
          <w:i/>
        </w:rPr>
        <w:t>af</w:t>
      </w:r>
      <w:proofErr w:type="spellEnd"/>
      <w:r w:rsidRPr="00DC3A3E">
        <w:rPr>
          <w:i/>
        </w:rPr>
        <w:t xml:space="preserve"> </w:t>
      </w:r>
      <w:proofErr w:type="spellStart"/>
      <w:r w:rsidRPr="00DC3A3E">
        <w:rPr>
          <w:i/>
        </w:rPr>
        <w:t>løse</w:t>
      </w:r>
      <w:proofErr w:type="spellEnd"/>
      <w:r w:rsidRPr="00DC3A3E">
        <w:rPr>
          <w:i/>
        </w:rPr>
        <w:t xml:space="preserve"> </w:t>
      </w:r>
      <w:proofErr w:type="spellStart"/>
      <w:r w:rsidRPr="00DC3A3E">
        <w:rPr>
          <w:i/>
        </w:rPr>
        <w:t>jordater</w:t>
      </w:r>
      <w:proofErr w:type="spellEnd"/>
      <w:r w:rsidRPr="00DC3A3E">
        <w:rPr>
          <w:i/>
        </w:rPr>
        <w:t xml:space="preserve"> (Characterisatio</w:t>
      </w:r>
      <w:r w:rsidR="00DC3A3E" w:rsidRPr="00DC3A3E">
        <w:rPr>
          <w:i/>
        </w:rPr>
        <w:t xml:space="preserve">n of unconsolidated sediments), </w:t>
      </w:r>
      <w:r w:rsidR="00DC3A3E">
        <w:t>&lt;&lt;</w:t>
      </w:r>
      <w:proofErr w:type="spellStart"/>
      <w:r w:rsidRPr="00403791">
        <w:t>Danmarks</w:t>
      </w:r>
      <w:proofErr w:type="spellEnd"/>
      <w:r w:rsidRPr="00403791">
        <w:t xml:space="preserve"> </w:t>
      </w:r>
      <w:proofErr w:type="spellStart"/>
      <w:r w:rsidRPr="00403791">
        <w:t>Geologiske</w:t>
      </w:r>
      <w:proofErr w:type="spellEnd"/>
      <w:r w:rsidRPr="00403791">
        <w:t xml:space="preserve"> </w:t>
      </w:r>
      <w:proofErr w:type="spellStart"/>
      <w:r w:rsidRPr="00403791">
        <w:t>Undersøgelse</w:t>
      </w:r>
      <w:proofErr w:type="spellEnd"/>
      <w:r w:rsidR="00DC3A3E">
        <w:t xml:space="preserve">&gt;&gt;, 4, pp. </w:t>
      </w:r>
      <w:r w:rsidRPr="00403791">
        <w:t>38-73</w:t>
      </w:r>
      <w:r w:rsidR="00DC3A3E">
        <w:t>.</w:t>
      </w:r>
    </w:p>
    <w:p w:rsidR="00111938" w:rsidRDefault="00111938" w:rsidP="003724E0">
      <w:pPr>
        <w:spacing w:after="240"/>
        <w:contextualSpacing/>
        <w:jc w:val="both"/>
        <w:rPr>
          <w:lang w:val="en-US"/>
        </w:rPr>
      </w:pPr>
    </w:p>
    <w:p w:rsidR="00111938" w:rsidRPr="00111938" w:rsidRDefault="00DC3A3E" w:rsidP="003724E0">
      <w:pPr>
        <w:spacing w:after="240"/>
        <w:contextualSpacing/>
        <w:jc w:val="both"/>
        <w:rPr>
          <w:lang w:val="en-US"/>
        </w:rPr>
      </w:pPr>
      <w:r>
        <w:rPr>
          <w:lang w:val="en-US"/>
        </w:rPr>
        <w:t xml:space="preserve">van </w:t>
      </w:r>
      <w:proofErr w:type="spellStart"/>
      <w:r>
        <w:rPr>
          <w:lang w:val="en-US"/>
        </w:rPr>
        <w:t>Geel</w:t>
      </w:r>
      <w:proofErr w:type="spellEnd"/>
      <w:r>
        <w:rPr>
          <w:lang w:val="en-US"/>
        </w:rPr>
        <w:t xml:space="preserve"> B., </w:t>
      </w:r>
      <w:proofErr w:type="spellStart"/>
      <w:r>
        <w:rPr>
          <w:lang w:val="en-US"/>
        </w:rPr>
        <w:t>Buurman</w:t>
      </w:r>
      <w:proofErr w:type="spellEnd"/>
      <w:r>
        <w:rPr>
          <w:lang w:val="en-US"/>
        </w:rPr>
        <w:t xml:space="preserve"> J., </w:t>
      </w:r>
      <w:proofErr w:type="spellStart"/>
      <w:r>
        <w:rPr>
          <w:lang w:val="en-US"/>
        </w:rPr>
        <w:t>Brinkkemper</w:t>
      </w:r>
      <w:proofErr w:type="spellEnd"/>
      <w:r>
        <w:rPr>
          <w:lang w:val="en-US"/>
        </w:rPr>
        <w:t xml:space="preserve"> O., </w:t>
      </w:r>
      <w:proofErr w:type="spellStart"/>
      <w:r>
        <w:rPr>
          <w:lang w:val="en-US"/>
        </w:rPr>
        <w:t>Schelvis</w:t>
      </w:r>
      <w:proofErr w:type="spellEnd"/>
      <w:r>
        <w:rPr>
          <w:lang w:val="en-US"/>
        </w:rPr>
        <w:t xml:space="preserve"> J., </w:t>
      </w:r>
      <w:proofErr w:type="spellStart"/>
      <w:r>
        <w:rPr>
          <w:lang w:val="en-US"/>
        </w:rPr>
        <w:t>Aptroot</w:t>
      </w:r>
      <w:proofErr w:type="spellEnd"/>
      <w:r>
        <w:rPr>
          <w:lang w:val="en-US"/>
        </w:rPr>
        <w:t xml:space="preserve"> A., van </w:t>
      </w:r>
      <w:proofErr w:type="spellStart"/>
      <w:r>
        <w:rPr>
          <w:lang w:val="en-US"/>
        </w:rPr>
        <w:t>Reenen</w:t>
      </w:r>
      <w:proofErr w:type="spellEnd"/>
      <w:r w:rsidR="00111938" w:rsidRPr="00111938">
        <w:rPr>
          <w:lang w:val="en-US"/>
        </w:rPr>
        <w:t xml:space="preserve"> G.B.</w:t>
      </w:r>
      <w:r>
        <w:rPr>
          <w:lang w:val="en-US"/>
        </w:rPr>
        <w:t xml:space="preserve">A., </w:t>
      </w:r>
      <w:proofErr w:type="spellStart"/>
      <w:r>
        <w:rPr>
          <w:lang w:val="en-US"/>
        </w:rPr>
        <w:t>Hakbijl</w:t>
      </w:r>
      <w:proofErr w:type="spellEnd"/>
      <w:r w:rsidR="00111938" w:rsidRPr="00111938">
        <w:rPr>
          <w:lang w:val="en-US"/>
        </w:rPr>
        <w:t xml:space="preserve"> T., </w:t>
      </w:r>
      <w:r>
        <w:rPr>
          <w:lang w:val="en-US"/>
        </w:rPr>
        <w:t>(2003),</w:t>
      </w:r>
      <w:r w:rsidR="00111938" w:rsidRPr="00111938">
        <w:rPr>
          <w:lang w:val="en-US"/>
        </w:rPr>
        <w:t xml:space="preserve"> </w:t>
      </w:r>
      <w:r w:rsidR="00111938" w:rsidRPr="00DC3A3E">
        <w:rPr>
          <w:i/>
          <w:lang w:val="en-US"/>
        </w:rPr>
        <w:t xml:space="preserve">Environmental reconstruction of a Roman Period settlement site in </w:t>
      </w:r>
      <w:proofErr w:type="spellStart"/>
      <w:r w:rsidR="00111938" w:rsidRPr="00DC3A3E">
        <w:rPr>
          <w:i/>
          <w:lang w:val="en-US"/>
        </w:rPr>
        <w:t>Uitgeest</w:t>
      </w:r>
      <w:proofErr w:type="spellEnd"/>
      <w:r w:rsidR="00111938" w:rsidRPr="00DC3A3E">
        <w:rPr>
          <w:i/>
          <w:lang w:val="en-US"/>
        </w:rPr>
        <w:t xml:space="preserve"> (The Netherlands), with special </w:t>
      </w:r>
      <w:r w:rsidRPr="00DC3A3E">
        <w:rPr>
          <w:i/>
          <w:lang w:val="en-US"/>
        </w:rPr>
        <w:t>reference to coprophilous fungi</w:t>
      </w:r>
      <w:r>
        <w:rPr>
          <w:lang w:val="en-US"/>
        </w:rPr>
        <w:t>,</w:t>
      </w:r>
      <w:r w:rsidR="00111938" w:rsidRPr="00111938">
        <w:rPr>
          <w:lang w:val="en-US"/>
        </w:rPr>
        <w:t xml:space="preserve"> </w:t>
      </w:r>
      <w:r>
        <w:rPr>
          <w:lang w:val="en-US"/>
        </w:rPr>
        <w:t>&lt;&lt;</w:t>
      </w:r>
      <w:r w:rsidR="00111938" w:rsidRPr="00111938">
        <w:rPr>
          <w:lang w:val="en-US"/>
        </w:rPr>
        <w:t>Journal of Archaeological Science</w:t>
      </w:r>
      <w:r>
        <w:rPr>
          <w:lang w:val="en-US"/>
        </w:rPr>
        <w:t>&gt;&gt;,</w:t>
      </w:r>
      <w:r w:rsidR="00111938" w:rsidRPr="00111938">
        <w:rPr>
          <w:lang w:val="en-US"/>
        </w:rPr>
        <w:t xml:space="preserve"> 30, </w:t>
      </w:r>
      <w:r>
        <w:rPr>
          <w:lang w:val="en-US"/>
        </w:rPr>
        <w:t xml:space="preserve">pp. </w:t>
      </w:r>
      <w:r w:rsidR="00111938" w:rsidRPr="00111938">
        <w:rPr>
          <w:lang w:val="en-US"/>
        </w:rPr>
        <w:t>873–883.</w:t>
      </w:r>
    </w:p>
    <w:p w:rsidR="003F7200" w:rsidRPr="00403791" w:rsidRDefault="003F7200" w:rsidP="003724E0">
      <w:pPr>
        <w:rPr>
          <w:lang w:val="it-IT"/>
        </w:rPr>
      </w:pPr>
    </w:p>
    <w:p w:rsidR="00494115" w:rsidRPr="00403791" w:rsidRDefault="00790FB9" w:rsidP="003724E0">
      <w:pPr>
        <w:jc w:val="both"/>
      </w:pPr>
      <w:r>
        <w:t xml:space="preserve">Vescovi E., </w:t>
      </w:r>
      <w:proofErr w:type="spellStart"/>
      <w:r>
        <w:t>Ammann</w:t>
      </w:r>
      <w:proofErr w:type="spellEnd"/>
      <w:r>
        <w:t xml:space="preserve"> B., </w:t>
      </w:r>
      <w:proofErr w:type="spellStart"/>
      <w:r>
        <w:t>Ravazzi</w:t>
      </w:r>
      <w:proofErr w:type="spellEnd"/>
      <w:r>
        <w:t xml:space="preserve"> C., </w:t>
      </w:r>
      <w:proofErr w:type="spellStart"/>
      <w:r>
        <w:t>Tinner</w:t>
      </w:r>
      <w:proofErr w:type="spellEnd"/>
      <w:r w:rsidR="00494115" w:rsidRPr="00403791">
        <w:t xml:space="preserve"> W., </w:t>
      </w:r>
      <w:r>
        <w:t>(2010),</w:t>
      </w:r>
      <w:r w:rsidR="00494115" w:rsidRPr="00403791">
        <w:t xml:space="preserve"> </w:t>
      </w:r>
      <w:r w:rsidR="00494115" w:rsidRPr="00790FB9">
        <w:rPr>
          <w:i/>
        </w:rPr>
        <w:t>A new Late-glacial and Holocene record of vegetation and fire history from Lago del Gre</w:t>
      </w:r>
      <w:r w:rsidRPr="00790FB9">
        <w:rPr>
          <w:i/>
        </w:rPr>
        <w:t>ppo, northern Apennines, Italy</w:t>
      </w:r>
      <w:r>
        <w:t>, &lt;&lt;</w:t>
      </w:r>
      <w:r w:rsidR="00494115" w:rsidRPr="00403791">
        <w:t>Vegetation History and Archaeobotany</w:t>
      </w:r>
      <w:r>
        <w:t>&gt;&gt;,</w:t>
      </w:r>
      <w:r w:rsidR="00494115" w:rsidRPr="00403791">
        <w:t xml:space="preserve"> 19, </w:t>
      </w:r>
      <w:r>
        <w:t xml:space="preserve">pp. </w:t>
      </w:r>
      <w:r w:rsidR="00494115" w:rsidRPr="00403791">
        <w:t>219-233.</w:t>
      </w:r>
    </w:p>
    <w:p w:rsidR="00A75E0B" w:rsidRDefault="00A75E0B" w:rsidP="003724E0">
      <w:pPr>
        <w:contextualSpacing/>
        <w:jc w:val="both"/>
      </w:pPr>
    </w:p>
    <w:p w:rsidR="00A75E0B" w:rsidRDefault="00A75E0B" w:rsidP="003724E0">
      <w:pPr>
        <w:contextualSpacing/>
        <w:jc w:val="both"/>
      </w:pPr>
      <w:proofErr w:type="spellStart"/>
      <w:r w:rsidRPr="00111938">
        <w:t>Vujan</w:t>
      </w:r>
      <w:r>
        <w:t>ovic</w:t>
      </w:r>
      <w:proofErr w:type="spellEnd"/>
      <w:r>
        <w:t xml:space="preserve"> V., Goh</w:t>
      </w:r>
      <w:r w:rsidRPr="00111938">
        <w:t xml:space="preserve"> Y.K., </w:t>
      </w:r>
      <w:r>
        <w:t>(2009),</w:t>
      </w:r>
      <w:r w:rsidRPr="00111938">
        <w:t xml:space="preserve"> </w:t>
      </w:r>
      <w:proofErr w:type="spellStart"/>
      <w:r w:rsidRPr="00111938">
        <w:rPr>
          <w:i/>
        </w:rPr>
        <w:t>Sphaerodes</w:t>
      </w:r>
      <w:proofErr w:type="spellEnd"/>
      <w:r w:rsidRPr="00111938">
        <w:rPr>
          <w:i/>
        </w:rPr>
        <w:t xml:space="preserve"> </w:t>
      </w:r>
      <w:proofErr w:type="spellStart"/>
      <w:r w:rsidRPr="00111938">
        <w:rPr>
          <w:i/>
        </w:rPr>
        <w:t>mycoparasitica</w:t>
      </w:r>
      <w:proofErr w:type="spellEnd"/>
      <w:r w:rsidRPr="00111938">
        <w:t xml:space="preserve"> sp. </w:t>
      </w:r>
      <w:proofErr w:type="spellStart"/>
      <w:r w:rsidRPr="00111938">
        <w:t>nov.</w:t>
      </w:r>
      <w:proofErr w:type="spellEnd"/>
      <w:r w:rsidRPr="00111938">
        <w:t xml:space="preserve">, a new </w:t>
      </w:r>
      <w:proofErr w:type="spellStart"/>
      <w:r w:rsidRPr="00111938">
        <w:t>biotrophic</w:t>
      </w:r>
      <w:proofErr w:type="spellEnd"/>
      <w:r w:rsidRPr="00111938">
        <w:t xml:space="preserve"> </w:t>
      </w:r>
      <w:proofErr w:type="spellStart"/>
      <w:r w:rsidRPr="00111938">
        <w:t>mycoparasite</w:t>
      </w:r>
      <w:proofErr w:type="spellEnd"/>
      <w:r w:rsidRPr="00111938">
        <w:t xml:space="preserve"> on </w:t>
      </w:r>
      <w:proofErr w:type="spellStart"/>
      <w:r w:rsidRPr="00111938">
        <w:rPr>
          <w:i/>
        </w:rPr>
        <w:t>Fusarium</w:t>
      </w:r>
      <w:proofErr w:type="spellEnd"/>
      <w:r w:rsidRPr="00111938">
        <w:rPr>
          <w:i/>
        </w:rPr>
        <w:t xml:space="preserve"> </w:t>
      </w:r>
      <w:proofErr w:type="spellStart"/>
      <w:r w:rsidRPr="00111938">
        <w:rPr>
          <w:i/>
        </w:rPr>
        <w:t>avenaceum</w:t>
      </w:r>
      <w:proofErr w:type="spellEnd"/>
      <w:r w:rsidRPr="00111938">
        <w:t xml:space="preserve">, </w:t>
      </w:r>
      <w:r w:rsidRPr="00111938">
        <w:rPr>
          <w:i/>
        </w:rPr>
        <w:t xml:space="preserve">F. </w:t>
      </w:r>
      <w:proofErr w:type="spellStart"/>
      <w:r w:rsidRPr="00111938">
        <w:rPr>
          <w:i/>
        </w:rPr>
        <w:t>graminearum</w:t>
      </w:r>
      <w:proofErr w:type="spellEnd"/>
      <w:r w:rsidRPr="00111938">
        <w:t xml:space="preserve"> and </w:t>
      </w:r>
      <w:r w:rsidRPr="00111938">
        <w:rPr>
          <w:i/>
        </w:rPr>
        <w:t xml:space="preserve">F. </w:t>
      </w:r>
      <w:proofErr w:type="spellStart"/>
      <w:r w:rsidRPr="00111938">
        <w:rPr>
          <w:i/>
        </w:rPr>
        <w:t>oxysporum</w:t>
      </w:r>
      <w:proofErr w:type="spellEnd"/>
      <w:r>
        <w:t>, &lt;&lt;</w:t>
      </w:r>
      <w:r>
        <w:rPr>
          <w:iCs/>
        </w:rPr>
        <w:t>Mycological R</w:t>
      </w:r>
      <w:r w:rsidRPr="00111938">
        <w:rPr>
          <w:iCs/>
        </w:rPr>
        <w:t>esearch</w:t>
      </w:r>
      <w:r>
        <w:rPr>
          <w:iCs/>
        </w:rPr>
        <w:t>&gt;&gt;,</w:t>
      </w:r>
      <w:r w:rsidRPr="00111938">
        <w:t xml:space="preserve"> </w:t>
      </w:r>
      <w:r w:rsidRPr="00111938">
        <w:rPr>
          <w:iCs/>
        </w:rPr>
        <w:t>113</w:t>
      </w:r>
      <w:r w:rsidRPr="00111938">
        <w:t xml:space="preserve">, </w:t>
      </w:r>
      <w:r>
        <w:t xml:space="preserve">pp. </w:t>
      </w:r>
      <w:r w:rsidRPr="00111938">
        <w:t>1172-1180.</w:t>
      </w:r>
    </w:p>
    <w:p w:rsidR="00494115" w:rsidRPr="00403791" w:rsidRDefault="00494115" w:rsidP="003724E0">
      <w:pPr>
        <w:jc w:val="both"/>
      </w:pPr>
    </w:p>
    <w:p w:rsidR="003F7200" w:rsidRPr="00403791" w:rsidRDefault="00790FB9" w:rsidP="003724E0">
      <w:pPr>
        <w:jc w:val="both"/>
      </w:pPr>
      <w:r>
        <w:t>Watson</w:t>
      </w:r>
      <w:r w:rsidR="003F7200" w:rsidRPr="00403791">
        <w:t xml:space="preserve"> C., </w:t>
      </w:r>
      <w:r>
        <w:t>(1996),</w:t>
      </w:r>
      <w:r w:rsidR="003F7200" w:rsidRPr="00403791">
        <w:t xml:space="preserve"> </w:t>
      </w:r>
      <w:r w:rsidR="003F7200" w:rsidRPr="00790FB9">
        <w:rPr>
          <w:i/>
        </w:rPr>
        <w:t>The vegetational history of the northern Apennines, Italy: information from three new sequences and a review o</w:t>
      </w:r>
      <w:r w:rsidRPr="00790FB9">
        <w:rPr>
          <w:i/>
        </w:rPr>
        <w:t>f regional vegetational changes</w:t>
      </w:r>
      <w:r>
        <w:t>,</w:t>
      </w:r>
      <w:r w:rsidR="003F7200" w:rsidRPr="00403791">
        <w:t xml:space="preserve"> </w:t>
      </w:r>
      <w:r>
        <w:t>&lt;&lt;</w:t>
      </w:r>
      <w:r w:rsidR="003F7200" w:rsidRPr="00403791">
        <w:t>Journal of Biogeography</w:t>
      </w:r>
      <w:r>
        <w:t>&gt;&gt;,</w:t>
      </w:r>
      <w:r w:rsidR="003F7200" w:rsidRPr="00403791">
        <w:t xml:space="preserve"> 23, </w:t>
      </w:r>
      <w:r>
        <w:t xml:space="preserve">pp. </w:t>
      </w:r>
      <w:r w:rsidR="003F7200" w:rsidRPr="00403791">
        <w:t>805-841.</w:t>
      </w:r>
    </w:p>
    <w:p w:rsidR="003847A8" w:rsidRPr="00403791" w:rsidRDefault="003847A8" w:rsidP="003724E0">
      <w:pPr>
        <w:jc w:val="both"/>
      </w:pPr>
    </w:p>
    <w:p w:rsidR="003847A8" w:rsidRPr="00403791" w:rsidRDefault="00790FB9" w:rsidP="003724E0">
      <w:pPr>
        <w:jc w:val="both"/>
      </w:pPr>
      <w:r>
        <w:t>Watts W.A., Allen J.R.M., Huntley</w:t>
      </w:r>
      <w:r w:rsidR="003847A8" w:rsidRPr="00403791">
        <w:t xml:space="preserve"> B.</w:t>
      </w:r>
      <w:r>
        <w:t>,</w:t>
      </w:r>
      <w:r w:rsidR="003847A8" w:rsidRPr="00403791">
        <w:t xml:space="preserve"> </w:t>
      </w:r>
      <w:r>
        <w:t>(</w:t>
      </w:r>
      <w:r w:rsidR="003847A8" w:rsidRPr="00403791">
        <w:t>1996a</w:t>
      </w:r>
      <w:r>
        <w:t>),</w:t>
      </w:r>
      <w:r w:rsidR="003847A8" w:rsidRPr="00403791">
        <w:t xml:space="preserve"> </w:t>
      </w:r>
      <w:r w:rsidR="003847A8" w:rsidRPr="00790FB9">
        <w:rPr>
          <w:i/>
        </w:rPr>
        <w:t>Vegetation history and palaeoclimate of the last glacial period at Lago Grande di Mont</w:t>
      </w:r>
      <w:r w:rsidRPr="00790FB9">
        <w:rPr>
          <w:i/>
        </w:rPr>
        <w:t>icchio, southern Italy</w:t>
      </w:r>
      <w:r>
        <w:t>,</w:t>
      </w:r>
      <w:r w:rsidR="003847A8" w:rsidRPr="00403791">
        <w:t xml:space="preserve"> </w:t>
      </w:r>
      <w:r>
        <w:t>&lt;&lt;</w:t>
      </w:r>
      <w:r w:rsidR="003847A8" w:rsidRPr="00403791">
        <w:t>Quaternary Science Reviews</w:t>
      </w:r>
      <w:r>
        <w:t>&gt;&gt;,</w:t>
      </w:r>
      <w:r w:rsidR="003847A8" w:rsidRPr="00403791">
        <w:t xml:space="preserve"> 15, </w:t>
      </w:r>
      <w:r>
        <w:t xml:space="preserve">pp. </w:t>
      </w:r>
      <w:r w:rsidR="003847A8" w:rsidRPr="00403791">
        <w:t>133-153.</w:t>
      </w:r>
    </w:p>
    <w:p w:rsidR="003847A8" w:rsidRPr="00403791" w:rsidRDefault="003847A8" w:rsidP="003724E0">
      <w:pPr>
        <w:jc w:val="both"/>
      </w:pPr>
    </w:p>
    <w:p w:rsidR="0065388B" w:rsidRDefault="003847A8" w:rsidP="003724E0">
      <w:pPr>
        <w:jc w:val="both"/>
      </w:pPr>
      <w:r w:rsidRPr="00403791">
        <w:t>Watts W</w:t>
      </w:r>
      <w:r w:rsidR="00790FB9">
        <w:t>.</w:t>
      </w:r>
      <w:r w:rsidRPr="00403791">
        <w:t>A</w:t>
      </w:r>
      <w:r w:rsidR="00790FB9">
        <w:t>.</w:t>
      </w:r>
      <w:r w:rsidRPr="00403791">
        <w:t>, Allen J</w:t>
      </w:r>
      <w:r w:rsidR="00790FB9">
        <w:t>.</w:t>
      </w:r>
      <w:r w:rsidRPr="00403791">
        <w:t>R</w:t>
      </w:r>
      <w:r w:rsidR="00790FB9">
        <w:t>.</w:t>
      </w:r>
      <w:r w:rsidRPr="00403791">
        <w:t>M</w:t>
      </w:r>
      <w:r w:rsidR="00790FB9">
        <w:t>.</w:t>
      </w:r>
      <w:r w:rsidRPr="00403791">
        <w:t>, Huntley B</w:t>
      </w:r>
      <w:r w:rsidR="00790FB9">
        <w:t>.</w:t>
      </w:r>
      <w:r w:rsidRPr="00403791">
        <w:t>, Fritz S</w:t>
      </w:r>
      <w:r w:rsidR="00790FB9">
        <w:t>.</w:t>
      </w:r>
      <w:r w:rsidRPr="00403791">
        <w:t>C</w:t>
      </w:r>
      <w:r w:rsidR="00790FB9">
        <w:t>.,</w:t>
      </w:r>
      <w:r w:rsidRPr="00403791">
        <w:t xml:space="preserve"> (1996b)</w:t>
      </w:r>
      <w:r w:rsidR="00790FB9">
        <w:t>,</w:t>
      </w:r>
      <w:r w:rsidRPr="00403791">
        <w:t xml:space="preserve"> </w:t>
      </w:r>
      <w:r w:rsidRPr="00790FB9">
        <w:rPr>
          <w:i/>
        </w:rPr>
        <w:t xml:space="preserve">Vegetation history and climate of the last 15,000 years at </w:t>
      </w:r>
      <w:proofErr w:type="spellStart"/>
      <w:r w:rsidRPr="00790FB9">
        <w:rPr>
          <w:i/>
        </w:rPr>
        <w:t>Lagh</w:t>
      </w:r>
      <w:r w:rsidR="00790FB9" w:rsidRPr="00790FB9">
        <w:rPr>
          <w:i/>
        </w:rPr>
        <w:t>i</w:t>
      </w:r>
      <w:proofErr w:type="spellEnd"/>
      <w:r w:rsidR="00790FB9" w:rsidRPr="00790FB9">
        <w:rPr>
          <w:i/>
        </w:rPr>
        <w:t xml:space="preserve"> di </w:t>
      </w:r>
      <w:proofErr w:type="spellStart"/>
      <w:r w:rsidR="00790FB9" w:rsidRPr="00790FB9">
        <w:rPr>
          <w:i/>
        </w:rPr>
        <w:t>Monticchio</w:t>
      </w:r>
      <w:proofErr w:type="spellEnd"/>
      <w:r w:rsidR="00790FB9" w:rsidRPr="00790FB9">
        <w:rPr>
          <w:i/>
        </w:rPr>
        <w:t>, southern Italy</w:t>
      </w:r>
      <w:r w:rsidR="00790FB9">
        <w:t>,</w:t>
      </w:r>
      <w:r w:rsidRPr="00403791">
        <w:t xml:space="preserve"> </w:t>
      </w:r>
      <w:r w:rsidR="00790FB9">
        <w:t>&lt;&lt;</w:t>
      </w:r>
      <w:r w:rsidRPr="00403791">
        <w:t>Quaternary Science Reviews</w:t>
      </w:r>
      <w:r w:rsidR="00790FB9">
        <w:t xml:space="preserve">&gt;&gt;, 15, </w:t>
      </w:r>
      <w:r w:rsidRPr="00403791">
        <w:t>113-132</w:t>
      </w:r>
      <w:r w:rsidR="00790FB9">
        <w:t>.</w:t>
      </w:r>
    </w:p>
    <w:p w:rsidR="00A66287" w:rsidRDefault="00A66287" w:rsidP="003724E0">
      <w:pPr>
        <w:contextualSpacing/>
        <w:jc w:val="both"/>
      </w:pPr>
    </w:p>
    <w:p w:rsidR="00A66287" w:rsidRPr="00A66287" w:rsidRDefault="00A66287" w:rsidP="003724E0">
      <w:pPr>
        <w:contextualSpacing/>
        <w:jc w:val="both"/>
        <w:rPr>
          <w:b/>
        </w:rPr>
      </w:pPr>
      <w:r w:rsidRPr="00A66287">
        <w:rPr>
          <w:b/>
        </w:rPr>
        <w:t>Acknowledgements</w:t>
      </w:r>
    </w:p>
    <w:p w:rsidR="002739AF" w:rsidRDefault="002908BD" w:rsidP="003724E0">
      <w:pPr>
        <w:contextualSpacing/>
        <w:jc w:val="both"/>
      </w:pPr>
      <w:r>
        <w:t>The authors would like to acknowledge the assistance of Dr Roberto Maggi, Professor John Lowe and Dr Matthew Canti during the field investigations at Rovegno, and Dr Stuart Black, Katie Bedford and Katy Turner during the fieldwork at Prato Spilla ‘A’. Dr Nathalie Marini is gratefully acknowledged for her assistance with the figures.</w:t>
      </w:r>
    </w:p>
    <w:p w:rsidR="007735C4" w:rsidRDefault="007735C4" w:rsidP="003724E0">
      <w:pPr>
        <w:contextualSpacing/>
        <w:jc w:val="both"/>
      </w:pPr>
    </w:p>
    <w:p w:rsidR="007735C4" w:rsidRDefault="007735C4" w:rsidP="003724E0">
      <w:pPr>
        <w:contextualSpacing/>
        <w:jc w:val="both"/>
      </w:pPr>
    </w:p>
    <w:p w:rsidR="007735C4" w:rsidRDefault="007735C4" w:rsidP="003724E0">
      <w:pPr>
        <w:contextualSpacing/>
        <w:jc w:val="both"/>
      </w:pPr>
    </w:p>
    <w:p w:rsidR="007735C4" w:rsidRDefault="007735C4" w:rsidP="003724E0">
      <w:pPr>
        <w:jc w:val="both"/>
        <w:rPr>
          <w:b/>
        </w:rPr>
      </w:pPr>
      <w:r>
        <w:rPr>
          <w:b/>
        </w:rPr>
        <w:t xml:space="preserve">Figure 1: </w:t>
      </w:r>
      <w:r>
        <w:t>Location of the study area and key palaeoecological records from the northern Apennines, Italy.</w:t>
      </w:r>
    </w:p>
    <w:p w:rsidR="007735C4" w:rsidRDefault="007735C4" w:rsidP="003724E0">
      <w:pPr>
        <w:jc w:val="both"/>
        <w:rPr>
          <w:b/>
        </w:rPr>
      </w:pPr>
    </w:p>
    <w:p w:rsidR="007735C4" w:rsidRDefault="007735C4" w:rsidP="003724E0">
      <w:pPr>
        <w:jc w:val="both"/>
        <w:rPr>
          <w:b/>
        </w:rPr>
      </w:pPr>
      <w:r>
        <w:rPr>
          <w:b/>
        </w:rPr>
        <w:t xml:space="preserve">Figure 2: </w:t>
      </w:r>
      <w:r>
        <w:t xml:space="preserve">Key Upper Palaeolithic and Mesolithic archaeological sites in the </w:t>
      </w:r>
      <w:proofErr w:type="spellStart"/>
      <w:r>
        <w:t>Ligurian</w:t>
      </w:r>
      <w:proofErr w:type="spellEnd"/>
      <w:r>
        <w:t xml:space="preserve"> Apennines; </w:t>
      </w:r>
      <w:proofErr w:type="spellStart"/>
      <w:r>
        <w:t>Moglie</w:t>
      </w:r>
      <w:proofErr w:type="spellEnd"/>
      <w:r>
        <w:t xml:space="preserve"> (1), </w:t>
      </w:r>
      <w:proofErr w:type="spellStart"/>
      <w:r>
        <w:t>Pian</w:t>
      </w:r>
      <w:proofErr w:type="spellEnd"/>
      <w:r>
        <w:t xml:space="preserve"> </w:t>
      </w:r>
      <w:proofErr w:type="spellStart"/>
      <w:r>
        <w:t>Brogione</w:t>
      </w:r>
      <w:proofErr w:type="spellEnd"/>
      <w:r>
        <w:t xml:space="preserve"> (2), </w:t>
      </w:r>
      <w:proofErr w:type="spellStart"/>
      <w:r>
        <w:t>Uccellato</w:t>
      </w:r>
      <w:proofErr w:type="spellEnd"/>
      <w:r>
        <w:t xml:space="preserve"> (3), </w:t>
      </w:r>
      <w:proofErr w:type="spellStart"/>
      <w:r>
        <w:t>Toirano</w:t>
      </w:r>
      <w:proofErr w:type="spellEnd"/>
      <w:r>
        <w:t xml:space="preserve"> (4), </w:t>
      </w:r>
      <w:proofErr w:type="spellStart"/>
      <w:r>
        <w:t>Caverna</w:t>
      </w:r>
      <w:proofErr w:type="spellEnd"/>
      <w:r>
        <w:t xml:space="preserve"> del </w:t>
      </w:r>
      <w:proofErr w:type="spellStart"/>
      <w:r>
        <w:t>Frate</w:t>
      </w:r>
      <w:proofErr w:type="spellEnd"/>
      <w:r>
        <w:t xml:space="preserve"> (5), </w:t>
      </w:r>
      <w:proofErr w:type="spellStart"/>
      <w:r>
        <w:t>Arma</w:t>
      </w:r>
      <w:proofErr w:type="spellEnd"/>
      <w:r>
        <w:t xml:space="preserve"> di </w:t>
      </w:r>
      <w:proofErr w:type="spellStart"/>
      <w:r>
        <w:t>Nasino</w:t>
      </w:r>
      <w:proofErr w:type="spellEnd"/>
      <w:r>
        <w:t xml:space="preserve"> (6), Arene Candide (7), </w:t>
      </w:r>
      <w:proofErr w:type="spellStart"/>
      <w:r>
        <w:t>Arma</w:t>
      </w:r>
      <w:proofErr w:type="spellEnd"/>
      <w:r>
        <w:t xml:space="preserve"> </w:t>
      </w:r>
      <w:proofErr w:type="spellStart"/>
      <w:r>
        <w:t>dell’Aquila</w:t>
      </w:r>
      <w:proofErr w:type="spellEnd"/>
      <w:r>
        <w:t xml:space="preserve"> (8), </w:t>
      </w:r>
      <w:proofErr w:type="spellStart"/>
      <w:r>
        <w:t>Arma</w:t>
      </w:r>
      <w:proofErr w:type="spellEnd"/>
      <w:r>
        <w:t xml:space="preserve"> </w:t>
      </w:r>
      <w:proofErr w:type="spellStart"/>
      <w:r>
        <w:t>dello</w:t>
      </w:r>
      <w:proofErr w:type="spellEnd"/>
      <w:r>
        <w:t xml:space="preserve"> </w:t>
      </w:r>
      <w:proofErr w:type="spellStart"/>
      <w:r>
        <w:t>Stefanin</w:t>
      </w:r>
      <w:proofErr w:type="spellEnd"/>
      <w:r>
        <w:t xml:space="preserve"> (9), </w:t>
      </w:r>
      <w:proofErr w:type="spellStart"/>
      <w:r>
        <w:t>Suvero</w:t>
      </w:r>
      <w:proofErr w:type="spellEnd"/>
      <w:r>
        <w:t xml:space="preserve"> (10), </w:t>
      </w:r>
      <w:proofErr w:type="spellStart"/>
      <w:r>
        <w:t>Torza</w:t>
      </w:r>
      <w:proofErr w:type="spellEnd"/>
      <w:r>
        <w:t xml:space="preserve"> (11), </w:t>
      </w:r>
      <w:proofErr w:type="spellStart"/>
      <w:r>
        <w:t>Ragola</w:t>
      </w:r>
      <w:proofErr w:type="spellEnd"/>
      <w:r>
        <w:t xml:space="preserve"> (12), Prato </w:t>
      </w:r>
      <w:proofErr w:type="spellStart"/>
      <w:r>
        <w:t>della</w:t>
      </w:r>
      <w:proofErr w:type="spellEnd"/>
      <w:r>
        <w:t xml:space="preserve"> </w:t>
      </w:r>
      <w:proofErr w:type="spellStart"/>
      <w:r>
        <w:t>Cipolla</w:t>
      </w:r>
      <w:proofErr w:type="spellEnd"/>
      <w:r>
        <w:t xml:space="preserve"> (13), </w:t>
      </w:r>
      <w:proofErr w:type="spellStart"/>
      <w:r>
        <w:t>Passo</w:t>
      </w:r>
      <w:proofErr w:type="spellEnd"/>
      <w:r>
        <w:t xml:space="preserve"> </w:t>
      </w:r>
      <w:proofErr w:type="spellStart"/>
      <w:r>
        <w:t>dello</w:t>
      </w:r>
      <w:proofErr w:type="spellEnd"/>
      <w:r>
        <w:t xml:space="preserve"> </w:t>
      </w:r>
      <w:proofErr w:type="spellStart"/>
      <w:r>
        <w:t>Zovallo</w:t>
      </w:r>
      <w:proofErr w:type="spellEnd"/>
      <w:r>
        <w:t xml:space="preserve"> (14), Monte </w:t>
      </w:r>
      <w:proofErr w:type="spellStart"/>
      <w:r>
        <w:t>Penna</w:t>
      </w:r>
      <w:proofErr w:type="spellEnd"/>
      <w:r>
        <w:t xml:space="preserve"> E (15), Monte </w:t>
      </w:r>
      <w:proofErr w:type="spellStart"/>
      <w:r>
        <w:t>Penna</w:t>
      </w:r>
      <w:proofErr w:type="spellEnd"/>
      <w:r>
        <w:t xml:space="preserve"> W (16), Prato </w:t>
      </w:r>
      <w:proofErr w:type="spellStart"/>
      <w:r>
        <w:t>Mollo</w:t>
      </w:r>
      <w:proofErr w:type="spellEnd"/>
      <w:r>
        <w:t xml:space="preserve"> (17), Lago Nero (18), Lago </w:t>
      </w:r>
      <w:proofErr w:type="spellStart"/>
      <w:r>
        <w:t>Agoraie</w:t>
      </w:r>
      <w:proofErr w:type="spellEnd"/>
      <w:r>
        <w:t xml:space="preserve"> (19), </w:t>
      </w:r>
      <w:proofErr w:type="spellStart"/>
      <w:r>
        <w:t>Pian</w:t>
      </w:r>
      <w:proofErr w:type="spellEnd"/>
      <w:r>
        <w:t xml:space="preserve"> </w:t>
      </w:r>
      <w:proofErr w:type="spellStart"/>
      <w:r>
        <w:t>Moglie</w:t>
      </w:r>
      <w:proofErr w:type="spellEnd"/>
      <w:r>
        <w:t xml:space="preserve"> (20), </w:t>
      </w:r>
      <w:proofErr w:type="spellStart"/>
      <w:r>
        <w:t>Passo</w:t>
      </w:r>
      <w:proofErr w:type="spellEnd"/>
      <w:r>
        <w:t xml:space="preserve"> </w:t>
      </w:r>
      <w:proofErr w:type="spellStart"/>
      <w:r>
        <w:t>Esola</w:t>
      </w:r>
      <w:proofErr w:type="spellEnd"/>
      <w:r>
        <w:t xml:space="preserve"> (21), Bosco </w:t>
      </w:r>
      <w:proofErr w:type="spellStart"/>
      <w:r>
        <w:t>delle</w:t>
      </w:r>
      <w:proofErr w:type="spellEnd"/>
      <w:r>
        <w:t xml:space="preserve"> Lame (22), </w:t>
      </w:r>
      <w:proofErr w:type="spellStart"/>
      <w:r>
        <w:t>Groppo</w:t>
      </w:r>
      <w:proofErr w:type="spellEnd"/>
      <w:r>
        <w:t xml:space="preserve"> </w:t>
      </w:r>
      <w:proofErr w:type="spellStart"/>
      <w:r>
        <w:t>Rosso</w:t>
      </w:r>
      <w:proofErr w:type="spellEnd"/>
      <w:r>
        <w:t xml:space="preserve"> (23), </w:t>
      </w:r>
      <w:proofErr w:type="spellStart"/>
      <w:r>
        <w:t>Colmo</w:t>
      </w:r>
      <w:proofErr w:type="spellEnd"/>
      <w:r>
        <w:t xml:space="preserve"> </w:t>
      </w:r>
      <w:proofErr w:type="spellStart"/>
      <w:r>
        <w:t>Rondio</w:t>
      </w:r>
      <w:proofErr w:type="spellEnd"/>
      <w:r>
        <w:t xml:space="preserve"> (24), </w:t>
      </w:r>
      <w:proofErr w:type="spellStart"/>
      <w:r>
        <w:t>Pian</w:t>
      </w:r>
      <w:proofErr w:type="spellEnd"/>
      <w:r>
        <w:t xml:space="preserve"> </w:t>
      </w:r>
      <w:proofErr w:type="spellStart"/>
      <w:r>
        <w:t>Brogione</w:t>
      </w:r>
      <w:proofErr w:type="spellEnd"/>
      <w:r>
        <w:t xml:space="preserve"> (25), </w:t>
      </w:r>
      <w:proofErr w:type="spellStart"/>
      <w:r>
        <w:t>Pian</w:t>
      </w:r>
      <w:proofErr w:type="spellEnd"/>
      <w:r>
        <w:t xml:space="preserve"> </w:t>
      </w:r>
      <w:proofErr w:type="spellStart"/>
      <w:r>
        <w:t>Gasparelle</w:t>
      </w:r>
      <w:proofErr w:type="spellEnd"/>
      <w:r>
        <w:t xml:space="preserve"> (26), </w:t>
      </w:r>
      <w:proofErr w:type="spellStart"/>
      <w:r>
        <w:t>Malga</w:t>
      </w:r>
      <w:proofErr w:type="spellEnd"/>
      <w:r>
        <w:t xml:space="preserve"> </w:t>
      </w:r>
      <w:proofErr w:type="spellStart"/>
      <w:r>
        <w:t>Perlezzi</w:t>
      </w:r>
      <w:proofErr w:type="spellEnd"/>
      <w:r>
        <w:t xml:space="preserve"> (27), </w:t>
      </w:r>
      <w:proofErr w:type="spellStart"/>
      <w:r>
        <w:t>Giacopiane</w:t>
      </w:r>
      <w:proofErr w:type="spellEnd"/>
      <w:r>
        <w:t xml:space="preserve"> (28), Bargone (29), </w:t>
      </w:r>
      <w:proofErr w:type="spellStart"/>
      <w:r>
        <w:t>Traso</w:t>
      </w:r>
      <w:proofErr w:type="spellEnd"/>
      <w:r>
        <w:t xml:space="preserve"> Monte (30), Monte </w:t>
      </w:r>
      <w:proofErr w:type="spellStart"/>
      <w:r>
        <w:t>Tregin</w:t>
      </w:r>
      <w:proofErr w:type="spellEnd"/>
      <w:r>
        <w:t xml:space="preserve"> (31), </w:t>
      </w:r>
      <w:proofErr w:type="spellStart"/>
      <w:r>
        <w:t>Uccellato</w:t>
      </w:r>
      <w:proofErr w:type="spellEnd"/>
      <w:r>
        <w:t xml:space="preserve"> (32), </w:t>
      </w:r>
      <w:proofErr w:type="spellStart"/>
      <w:r>
        <w:t>Nasoni</w:t>
      </w:r>
      <w:proofErr w:type="spellEnd"/>
      <w:r>
        <w:t xml:space="preserve"> (33), </w:t>
      </w:r>
      <w:proofErr w:type="spellStart"/>
      <w:r>
        <w:t>Passo</w:t>
      </w:r>
      <w:proofErr w:type="spellEnd"/>
      <w:r>
        <w:t xml:space="preserve"> Bastia (34), </w:t>
      </w:r>
      <w:proofErr w:type="spellStart"/>
      <w:r>
        <w:t>Uscio</w:t>
      </w:r>
      <w:proofErr w:type="spellEnd"/>
      <w:r>
        <w:t xml:space="preserve"> (35), </w:t>
      </w:r>
      <w:proofErr w:type="spellStart"/>
      <w:r>
        <w:t>Passo</w:t>
      </w:r>
      <w:proofErr w:type="spellEnd"/>
      <w:r>
        <w:t xml:space="preserve"> </w:t>
      </w:r>
      <w:proofErr w:type="spellStart"/>
      <w:r>
        <w:t>della</w:t>
      </w:r>
      <w:proofErr w:type="spellEnd"/>
      <w:r>
        <w:t xml:space="preserve"> Camilla (36), Monte </w:t>
      </w:r>
      <w:proofErr w:type="spellStart"/>
      <w:r>
        <w:t>Bianco</w:t>
      </w:r>
      <w:proofErr w:type="spellEnd"/>
      <w:r>
        <w:t xml:space="preserve"> (37), </w:t>
      </w:r>
      <w:proofErr w:type="spellStart"/>
      <w:r>
        <w:t>Nido</w:t>
      </w:r>
      <w:proofErr w:type="spellEnd"/>
      <w:r>
        <w:t xml:space="preserve"> del Merlo (38), </w:t>
      </w:r>
      <w:proofErr w:type="spellStart"/>
      <w:r>
        <w:t>Ferranda</w:t>
      </w:r>
      <w:proofErr w:type="spellEnd"/>
      <w:r>
        <w:t xml:space="preserve"> (39), </w:t>
      </w:r>
      <w:proofErr w:type="spellStart"/>
      <w:r>
        <w:t>Mezzanego</w:t>
      </w:r>
      <w:proofErr w:type="spellEnd"/>
      <w:r>
        <w:t xml:space="preserve"> (40), </w:t>
      </w:r>
      <w:proofErr w:type="spellStart"/>
      <w:r>
        <w:t>Pian</w:t>
      </w:r>
      <w:proofErr w:type="spellEnd"/>
      <w:r>
        <w:t xml:space="preserve"> del Re (41).</w:t>
      </w:r>
    </w:p>
    <w:p w:rsidR="007735C4" w:rsidRDefault="007735C4" w:rsidP="003724E0">
      <w:pPr>
        <w:jc w:val="both"/>
        <w:rPr>
          <w:b/>
        </w:rPr>
      </w:pPr>
    </w:p>
    <w:p w:rsidR="007735C4" w:rsidRDefault="007735C4" w:rsidP="003724E0">
      <w:pPr>
        <w:jc w:val="both"/>
      </w:pPr>
      <w:r>
        <w:rPr>
          <w:b/>
        </w:rPr>
        <w:t xml:space="preserve">Figure 3a: </w:t>
      </w:r>
      <w:r>
        <w:t xml:space="preserve">Key Neolithic archaeological sites in the northern Apennines; Alba (1), </w:t>
      </w:r>
      <w:proofErr w:type="spellStart"/>
      <w:r>
        <w:t>Cecima</w:t>
      </w:r>
      <w:proofErr w:type="spellEnd"/>
      <w:r>
        <w:t xml:space="preserve"> (2), </w:t>
      </w:r>
      <w:proofErr w:type="spellStart"/>
      <w:r>
        <w:t>Tana</w:t>
      </w:r>
      <w:proofErr w:type="spellEnd"/>
      <w:r>
        <w:t xml:space="preserve"> del Barletta (3), </w:t>
      </w:r>
      <w:proofErr w:type="spellStart"/>
      <w:r>
        <w:t>Arma</w:t>
      </w:r>
      <w:proofErr w:type="spellEnd"/>
      <w:r>
        <w:t xml:space="preserve"> di </w:t>
      </w:r>
      <w:proofErr w:type="spellStart"/>
      <w:r>
        <w:t>Nasino</w:t>
      </w:r>
      <w:proofErr w:type="spellEnd"/>
      <w:r>
        <w:t xml:space="preserve"> (4), </w:t>
      </w:r>
      <w:proofErr w:type="spellStart"/>
      <w:r>
        <w:t>Grotta</w:t>
      </w:r>
      <w:proofErr w:type="spellEnd"/>
      <w:r>
        <w:t xml:space="preserve"> </w:t>
      </w:r>
      <w:proofErr w:type="spellStart"/>
      <w:r>
        <w:t>Pertusello</w:t>
      </w:r>
      <w:proofErr w:type="spellEnd"/>
      <w:r>
        <w:t xml:space="preserve"> (5), </w:t>
      </w:r>
      <w:proofErr w:type="spellStart"/>
      <w:r>
        <w:t>Arma</w:t>
      </w:r>
      <w:proofErr w:type="spellEnd"/>
      <w:r>
        <w:t xml:space="preserve"> </w:t>
      </w:r>
      <w:proofErr w:type="spellStart"/>
      <w:r>
        <w:t>dello</w:t>
      </w:r>
      <w:proofErr w:type="spellEnd"/>
      <w:r>
        <w:t xml:space="preserve"> </w:t>
      </w:r>
      <w:proofErr w:type="spellStart"/>
      <w:r>
        <w:t>Stefanin</w:t>
      </w:r>
      <w:proofErr w:type="spellEnd"/>
      <w:r>
        <w:t xml:space="preserve"> (6), </w:t>
      </w:r>
      <w:proofErr w:type="spellStart"/>
      <w:r>
        <w:t>Grotta</w:t>
      </w:r>
      <w:proofErr w:type="spellEnd"/>
      <w:r>
        <w:t xml:space="preserve"> del Ponte di </w:t>
      </w:r>
      <w:proofErr w:type="spellStart"/>
      <w:r>
        <w:t>Vara</w:t>
      </w:r>
      <w:proofErr w:type="spellEnd"/>
      <w:r>
        <w:t xml:space="preserve"> (7), </w:t>
      </w:r>
      <w:proofErr w:type="spellStart"/>
      <w:r>
        <w:t>Pollera</w:t>
      </w:r>
      <w:proofErr w:type="spellEnd"/>
      <w:r>
        <w:t xml:space="preserve"> Cave (8), </w:t>
      </w:r>
      <w:proofErr w:type="spellStart"/>
      <w:r>
        <w:t>Grotta</w:t>
      </w:r>
      <w:proofErr w:type="spellEnd"/>
      <w:r>
        <w:t xml:space="preserve"> </w:t>
      </w:r>
      <w:proofErr w:type="spellStart"/>
      <w:r>
        <w:t>dell’Edera</w:t>
      </w:r>
      <w:proofErr w:type="spellEnd"/>
      <w:r>
        <w:t xml:space="preserve"> (9), </w:t>
      </w:r>
      <w:proofErr w:type="spellStart"/>
      <w:r>
        <w:t>Caverna</w:t>
      </w:r>
      <w:proofErr w:type="spellEnd"/>
      <w:r>
        <w:t xml:space="preserve"> del </w:t>
      </w:r>
      <w:proofErr w:type="spellStart"/>
      <w:r>
        <w:t>Frate</w:t>
      </w:r>
      <w:proofErr w:type="spellEnd"/>
      <w:r>
        <w:t xml:space="preserve"> (10), Arene Candide (11), </w:t>
      </w:r>
      <w:proofErr w:type="spellStart"/>
      <w:r>
        <w:t>Arma</w:t>
      </w:r>
      <w:proofErr w:type="spellEnd"/>
      <w:r>
        <w:t xml:space="preserve"> </w:t>
      </w:r>
      <w:proofErr w:type="spellStart"/>
      <w:r>
        <w:t>dell’Aquila</w:t>
      </w:r>
      <w:proofErr w:type="spellEnd"/>
      <w:r>
        <w:t xml:space="preserve"> (12), </w:t>
      </w:r>
      <w:proofErr w:type="spellStart"/>
      <w:r>
        <w:t>Caverna</w:t>
      </w:r>
      <w:proofErr w:type="spellEnd"/>
      <w:r>
        <w:t xml:space="preserve"> Le Pile (13), </w:t>
      </w:r>
      <w:proofErr w:type="spellStart"/>
      <w:r>
        <w:t>Caverna</w:t>
      </w:r>
      <w:proofErr w:type="spellEnd"/>
      <w:r>
        <w:t xml:space="preserve"> </w:t>
      </w:r>
      <w:proofErr w:type="spellStart"/>
      <w:r>
        <w:t>dell’Acqua</w:t>
      </w:r>
      <w:proofErr w:type="spellEnd"/>
      <w:r>
        <w:t xml:space="preserve"> (14), </w:t>
      </w:r>
      <w:proofErr w:type="spellStart"/>
      <w:r>
        <w:t>Alpicella</w:t>
      </w:r>
      <w:proofErr w:type="spellEnd"/>
      <w:r>
        <w:t xml:space="preserve"> (15), </w:t>
      </w:r>
      <w:proofErr w:type="spellStart"/>
      <w:r>
        <w:t>Genova</w:t>
      </w:r>
      <w:proofErr w:type="spellEnd"/>
      <w:r>
        <w:t xml:space="preserve"> Piazza </w:t>
      </w:r>
      <w:proofErr w:type="spellStart"/>
      <w:r>
        <w:t>Brignole</w:t>
      </w:r>
      <w:proofErr w:type="spellEnd"/>
      <w:r>
        <w:t xml:space="preserve"> (16), </w:t>
      </w:r>
      <w:proofErr w:type="spellStart"/>
      <w:r>
        <w:t>Genova</w:t>
      </w:r>
      <w:proofErr w:type="spellEnd"/>
      <w:r>
        <w:t xml:space="preserve"> Piazza </w:t>
      </w:r>
      <w:proofErr w:type="spellStart"/>
      <w:r>
        <w:t>della</w:t>
      </w:r>
      <w:proofErr w:type="spellEnd"/>
      <w:r>
        <w:t xml:space="preserve"> </w:t>
      </w:r>
      <w:proofErr w:type="spellStart"/>
      <w:r>
        <w:t>Vittoria</w:t>
      </w:r>
      <w:proofErr w:type="spellEnd"/>
      <w:r>
        <w:t xml:space="preserve"> (17), </w:t>
      </w:r>
      <w:proofErr w:type="spellStart"/>
      <w:r>
        <w:t>Castellaro</w:t>
      </w:r>
      <w:proofErr w:type="spellEnd"/>
      <w:r>
        <w:t xml:space="preserve"> di </w:t>
      </w:r>
      <w:proofErr w:type="spellStart"/>
      <w:r>
        <w:t>Uscio</w:t>
      </w:r>
      <w:proofErr w:type="spellEnd"/>
      <w:r>
        <w:t xml:space="preserve"> (18), </w:t>
      </w:r>
      <w:proofErr w:type="spellStart"/>
      <w:r>
        <w:t>Pian</w:t>
      </w:r>
      <w:proofErr w:type="spellEnd"/>
      <w:r>
        <w:t xml:space="preserve"> </w:t>
      </w:r>
      <w:proofErr w:type="spellStart"/>
      <w:r>
        <w:t>Brogione</w:t>
      </w:r>
      <w:proofErr w:type="spellEnd"/>
      <w:r>
        <w:t xml:space="preserve"> (19), </w:t>
      </w:r>
      <w:proofErr w:type="spellStart"/>
      <w:r>
        <w:t>Aiona</w:t>
      </w:r>
      <w:proofErr w:type="spellEnd"/>
      <w:r>
        <w:t xml:space="preserve"> (20), </w:t>
      </w:r>
      <w:proofErr w:type="spellStart"/>
      <w:r>
        <w:t>Tana</w:t>
      </w:r>
      <w:proofErr w:type="spellEnd"/>
      <w:r>
        <w:t xml:space="preserve"> </w:t>
      </w:r>
      <w:proofErr w:type="spellStart"/>
      <w:r>
        <w:t>delle</w:t>
      </w:r>
      <w:proofErr w:type="spellEnd"/>
      <w:r>
        <w:t xml:space="preserve"> Fate (21), </w:t>
      </w:r>
      <w:proofErr w:type="spellStart"/>
      <w:r>
        <w:t>Pianaccia</w:t>
      </w:r>
      <w:proofErr w:type="spellEnd"/>
      <w:r>
        <w:t xml:space="preserve"> di </w:t>
      </w:r>
      <w:proofErr w:type="spellStart"/>
      <w:r>
        <w:t>Suvero</w:t>
      </w:r>
      <w:proofErr w:type="spellEnd"/>
      <w:r>
        <w:t xml:space="preserve"> (22), Monte </w:t>
      </w:r>
      <w:proofErr w:type="spellStart"/>
      <w:r>
        <w:t>Frignone</w:t>
      </w:r>
      <w:proofErr w:type="spellEnd"/>
      <w:r>
        <w:t xml:space="preserve"> II (23), </w:t>
      </w:r>
      <w:proofErr w:type="spellStart"/>
      <w:r>
        <w:t>Pian</w:t>
      </w:r>
      <w:proofErr w:type="spellEnd"/>
      <w:r>
        <w:t xml:space="preserve"> di </w:t>
      </w:r>
      <w:proofErr w:type="spellStart"/>
      <w:r>
        <w:t>Cerreto</w:t>
      </w:r>
      <w:proofErr w:type="spellEnd"/>
      <w:r>
        <w:t xml:space="preserve"> (24), </w:t>
      </w:r>
      <w:proofErr w:type="spellStart"/>
      <w:r>
        <w:t>Muraccio</w:t>
      </w:r>
      <w:proofErr w:type="spellEnd"/>
      <w:r>
        <w:t xml:space="preserve"> (25), </w:t>
      </w:r>
      <w:proofErr w:type="spellStart"/>
      <w:r>
        <w:t>Riparo</w:t>
      </w:r>
      <w:proofErr w:type="spellEnd"/>
      <w:r>
        <w:t xml:space="preserve"> del </w:t>
      </w:r>
      <w:proofErr w:type="spellStart"/>
      <w:r>
        <w:t>Lauro</w:t>
      </w:r>
      <w:proofErr w:type="spellEnd"/>
      <w:r>
        <w:t xml:space="preserve"> (26), </w:t>
      </w:r>
      <w:proofErr w:type="spellStart"/>
      <w:r>
        <w:t>Grotta</w:t>
      </w:r>
      <w:proofErr w:type="spellEnd"/>
      <w:r>
        <w:t xml:space="preserve"> </w:t>
      </w:r>
      <w:proofErr w:type="spellStart"/>
      <w:r>
        <w:t>all’Onda</w:t>
      </w:r>
      <w:proofErr w:type="spellEnd"/>
      <w:r>
        <w:t xml:space="preserve"> (27), </w:t>
      </w:r>
      <w:proofErr w:type="spellStart"/>
      <w:r>
        <w:t>Riparo</w:t>
      </w:r>
      <w:proofErr w:type="spellEnd"/>
      <w:r>
        <w:t xml:space="preserve"> </w:t>
      </w:r>
      <w:proofErr w:type="spellStart"/>
      <w:r>
        <w:t>Romita</w:t>
      </w:r>
      <w:proofErr w:type="spellEnd"/>
      <w:r>
        <w:t xml:space="preserve"> di </w:t>
      </w:r>
      <w:proofErr w:type="spellStart"/>
      <w:r>
        <w:t>Asciano</w:t>
      </w:r>
      <w:proofErr w:type="spellEnd"/>
      <w:r>
        <w:t xml:space="preserve"> (28), </w:t>
      </w:r>
      <w:proofErr w:type="spellStart"/>
      <w:r>
        <w:t>Grotta</w:t>
      </w:r>
      <w:proofErr w:type="spellEnd"/>
      <w:r>
        <w:t xml:space="preserve"> del Leone (29), San </w:t>
      </w:r>
      <w:proofErr w:type="spellStart"/>
      <w:r>
        <w:t>Rossore</w:t>
      </w:r>
      <w:proofErr w:type="spellEnd"/>
      <w:r>
        <w:t xml:space="preserve"> </w:t>
      </w:r>
      <w:proofErr w:type="spellStart"/>
      <w:r>
        <w:t>Poggio</w:t>
      </w:r>
      <w:proofErr w:type="spellEnd"/>
      <w:r>
        <w:t xml:space="preserve"> di Mezzo (30), </w:t>
      </w:r>
      <w:proofErr w:type="spellStart"/>
      <w:r>
        <w:t>Coltano</w:t>
      </w:r>
      <w:proofErr w:type="spellEnd"/>
      <w:r>
        <w:t xml:space="preserve"> (31), Casa </w:t>
      </w:r>
      <w:proofErr w:type="spellStart"/>
      <w:r>
        <w:t>dell’Isola</w:t>
      </w:r>
      <w:proofErr w:type="spellEnd"/>
      <w:r>
        <w:t xml:space="preserve"> (32), </w:t>
      </w:r>
      <w:proofErr w:type="spellStart"/>
      <w:r>
        <w:t>Stagno</w:t>
      </w:r>
      <w:proofErr w:type="spellEnd"/>
      <w:r>
        <w:t xml:space="preserve"> (33), Casa </w:t>
      </w:r>
      <w:proofErr w:type="spellStart"/>
      <w:r>
        <w:t>Querciolaia</w:t>
      </w:r>
      <w:proofErr w:type="spellEnd"/>
      <w:r>
        <w:t xml:space="preserve"> (34), </w:t>
      </w:r>
      <w:proofErr w:type="spellStart"/>
      <w:r>
        <w:t>Podere</w:t>
      </w:r>
      <w:proofErr w:type="spellEnd"/>
      <w:r>
        <w:t xml:space="preserve"> </w:t>
      </w:r>
      <w:proofErr w:type="spellStart"/>
      <w:r>
        <w:t>Uliveto</w:t>
      </w:r>
      <w:proofErr w:type="spellEnd"/>
      <w:r>
        <w:t xml:space="preserve"> (35), </w:t>
      </w:r>
      <w:proofErr w:type="spellStart"/>
      <w:r>
        <w:t>Podere</w:t>
      </w:r>
      <w:proofErr w:type="spellEnd"/>
      <w:r>
        <w:t xml:space="preserve"> </w:t>
      </w:r>
      <w:proofErr w:type="spellStart"/>
      <w:r>
        <w:t>Casanuova</w:t>
      </w:r>
      <w:proofErr w:type="spellEnd"/>
      <w:r>
        <w:t xml:space="preserve"> (36), </w:t>
      </w:r>
      <w:proofErr w:type="spellStart"/>
      <w:r>
        <w:t>Neto</w:t>
      </w:r>
      <w:proofErr w:type="spellEnd"/>
      <w:r>
        <w:t xml:space="preserve"> di </w:t>
      </w:r>
      <w:proofErr w:type="spellStart"/>
      <w:r>
        <w:t>Bolasse</w:t>
      </w:r>
      <w:proofErr w:type="spellEnd"/>
      <w:r>
        <w:t xml:space="preserve"> (37), Villa </w:t>
      </w:r>
      <w:proofErr w:type="spellStart"/>
      <w:r>
        <w:t>Fiorita</w:t>
      </w:r>
      <w:proofErr w:type="spellEnd"/>
      <w:r>
        <w:t xml:space="preserve"> (38), </w:t>
      </w:r>
      <w:proofErr w:type="spellStart"/>
      <w:r>
        <w:t>Neto</w:t>
      </w:r>
      <w:proofErr w:type="spellEnd"/>
      <w:r>
        <w:t xml:space="preserve">-via </w:t>
      </w:r>
      <w:proofErr w:type="spellStart"/>
      <w:r>
        <w:t>Verga</w:t>
      </w:r>
      <w:proofErr w:type="spellEnd"/>
      <w:r>
        <w:t xml:space="preserve"> (39), </w:t>
      </w:r>
      <w:proofErr w:type="spellStart"/>
      <w:r>
        <w:t>Mileto</w:t>
      </w:r>
      <w:proofErr w:type="spellEnd"/>
      <w:r>
        <w:t xml:space="preserve"> (40), </w:t>
      </w:r>
      <w:proofErr w:type="spellStart"/>
      <w:r>
        <w:t>Spazzavento</w:t>
      </w:r>
      <w:proofErr w:type="spellEnd"/>
      <w:r>
        <w:t xml:space="preserve"> (41), </w:t>
      </w:r>
      <w:proofErr w:type="spellStart"/>
      <w:r>
        <w:t>Grotta</w:t>
      </w:r>
      <w:proofErr w:type="spellEnd"/>
      <w:r>
        <w:t xml:space="preserve"> di Monte </w:t>
      </w:r>
      <w:proofErr w:type="spellStart"/>
      <w:r>
        <w:t>Venere</w:t>
      </w:r>
      <w:proofErr w:type="spellEnd"/>
      <w:r>
        <w:t xml:space="preserve"> (42), </w:t>
      </w:r>
      <w:proofErr w:type="spellStart"/>
      <w:r>
        <w:t>Sasso</w:t>
      </w:r>
      <w:proofErr w:type="spellEnd"/>
      <w:r>
        <w:t xml:space="preserve"> Marconi Ca’ de </w:t>
      </w:r>
      <w:proofErr w:type="spellStart"/>
      <w:r>
        <w:t>Testi</w:t>
      </w:r>
      <w:proofErr w:type="spellEnd"/>
      <w:r>
        <w:t xml:space="preserve"> (43), </w:t>
      </w:r>
      <w:proofErr w:type="spellStart"/>
      <w:r>
        <w:t>Casalecchio</w:t>
      </w:r>
      <w:proofErr w:type="spellEnd"/>
      <w:r>
        <w:t xml:space="preserve"> di Reno (44), </w:t>
      </w:r>
      <w:proofErr w:type="spellStart"/>
      <w:r>
        <w:t>Savignano</w:t>
      </w:r>
      <w:proofErr w:type="spellEnd"/>
      <w:r>
        <w:t xml:space="preserve"> </w:t>
      </w:r>
      <w:proofErr w:type="spellStart"/>
      <w:r>
        <w:t>sul</w:t>
      </w:r>
      <w:proofErr w:type="spellEnd"/>
      <w:r>
        <w:t xml:space="preserve"> </w:t>
      </w:r>
      <w:proofErr w:type="spellStart"/>
      <w:r>
        <w:t>Panaro</w:t>
      </w:r>
      <w:proofErr w:type="spellEnd"/>
      <w:r>
        <w:t xml:space="preserve"> (45), </w:t>
      </w:r>
      <w:proofErr w:type="spellStart"/>
      <w:r>
        <w:t>Bellaria</w:t>
      </w:r>
      <w:proofErr w:type="spellEnd"/>
      <w:r>
        <w:t xml:space="preserve"> di </w:t>
      </w:r>
      <w:proofErr w:type="spellStart"/>
      <w:r>
        <w:t>Bazzano</w:t>
      </w:r>
      <w:proofErr w:type="spellEnd"/>
      <w:r>
        <w:t xml:space="preserve"> (46), </w:t>
      </w:r>
      <w:proofErr w:type="spellStart"/>
      <w:r>
        <w:t>Spilamberto</w:t>
      </w:r>
      <w:proofErr w:type="spellEnd"/>
      <w:r>
        <w:t xml:space="preserve"> (47), San </w:t>
      </w:r>
      <w:proofErr w:type="spellStart"/>
      <w:r>
        <w:t>Cesario</w:t>
      </w:r>
      <w:proofErr w:type="spellEnd"/>
      <w:r>
        <w:t xml:space="preserve"> </w:t>
      </w:r>
      <w:proofErr w:type="spellStart"/>
      <w:r>
        <w:t>sul</w:t>
      </w:r>
      <w:proofErr w:type="spellEnd"/>
      <w:r>
        <w:t xml:space="preserve"> </w:t>
      </w:r>
      <w:proofErr w:type="spellStart"/>
      <w:r>
        <w:t>Panaro</w:t>
      </w:r>
      <w:proofErr w:type="spellEnd"/>
      <w:r>
        <w:t xml:space="preserve"> (48), </w:t>
      </w:r>
      <w:proofErr w:type="spellStart"/>
      <w:r>
        <w:t>Cantone</w:t>
      </w:r>
      <w:proofErr w:type="spellEnd"/>
      <w:r>
        <w:t xml:space="preserve"> di </w:t>
      </w:r>
      <w:proofErr w:type="spellStart"/>
      <w:r>
        <w:t>Magreta</w:t>
      </w:r>
      <w:proofErr w:type="spellEnd"/>
      <w:r>
        <w:t xml:space="preserve"> (49), </w:t>
      </w:r>
      <w:proofErr w:type="spellStart"/>
      <w:r>
        <w:t>Formigine</w:t>
      </w:r>
      <w:proofErr w:type="spellEnd"/>
      <w:r>
        <w:t xml:space="preserve"> Villa </w:t>
      </w:r>
      <w:proofErr w:type="spellStart"/>
      <w:r>
        <w:t>Agandini-Agazzotti</w:t>
      </w:r>
      <w:proofErr w:type="spellEnd"/>
      <w:r>
        <w:t xml:space="preserve"> (50), </w:t>
      </w:r>
      <w:proofErr w:type="spellStart"/>
      <w:r>
        <w:t>Fiorano</w:t>
      </w:r>
      <w:proofErr w:type="spellEnd"/>
      <w:r>
        <w:t xml:space="preserve"> </w:t>
      </w:r>
      <w:proofErr w:type="spellStart"/>
      <w:r>
        <w:t>Modenese</w:t>
      </w:r>
      <w:proofErr w:type="spellEnd"/>
      <w:r>
        <w:t xml:space="preserve"> (51), </w:t>
      </w:r>
      <w:proofErr w:type="spellStart"/>
      <w:r>
        <w:t>Pescale</w:t>
      </w:r>
      <w:proofErr w:type="spellEnd"/>
      <w:r>
        <w:t xml:space="preserve"> (52), </w:t>
      </w:r>
      <w:proofErr w:type="spellStart"/>
      <w:r>
        <w:t>Chiozza</w:t>
      </w:r>
      <w:proofErr w:type="spellEnd"/>
      <w:r>
        <w:t xml:space="preserve"> di </w:t>
      </w:r>
      <w:proofErr w:type="spellStart"/>
      <w:r>
        <w:t>Scandiano</w:t>
      </w:r>
      <w:proofErr w:type="spellEnd"/>
      <w:r>
        <w:t xml:space="preserve"> (53), </w:t>
      </w:r>
      <w:proofErr w:type="spellStart"/>
      <w:r>
        <w:t>Bazzarola</w:t>
      </w:r>
      <w:proofErr w:type="spellEnd"/>
      <w:r>
        <w:t xml:space="preserve"> (54), Reggio Emilia via </w:t>
      </w:r>
      <w:proofErr w:type="spellStart"/>
      <w:r>
        <w:t>rivoluzione</w:t>
      </w:r>
      <w:proofErr w:type="spellEnd"/>
      <w:r>
        <w:t xml:space="preserve"> </w:t>
      </w:r>
      <w:proofErr w:type="spellStart"/>
      <w:r>
        <w:t>d’ottobre</w:t>
      </w:r>
      <w:proofErr w:type="spellEnd"/>
      <w:r>
        <w:t xml:space="preserve"> (55), </w:t>
      </w:r>
      <w:proofErr w:type="spellStart"/>
      <w:r>
        <w:t>Rivaltella</w:t>
      </w:r>
      <w:proofErr w:type="spellEnd"/>
      <w:r>
        <w:t xml:space="preserve"> (56), </w:t>
      </w:r>
      <w:proofErr w:type="spellStart"/>
      <w:r>
        <w:t>Calerno</w:t>
      </w:r>
      <w:proofErr w:type="spellEnd"/>
      <w:r>
        <w:t xml:space="preserve"> </w:t>
      </w:r>
      <w:proofErr w:type="spellStart"/>
      <w:r>
        <w:t>Amadosi</w:t>
      </w:r>
      <w:proofErr w:type="spellEnd"/>
      <w:r>
        <w:t xml:space="preserve"> (57), </w:t>
      </w:r>
      <w:proofErr w:type="spellStart"/>
      <w:r>
        <w:t>Castelnuovo</w:t>
      </w:r>
      <w:proofErr w:type="spellEnd"/>
      <w:r>
        <w:t xml:space="preserve"> Sotto </w:t>
      </w:r>
      <w:proofErr w:type="spellStart"/>
      <w:r>
        <w:t>podere</w:t>
      </w:r>
      <w:proofErr w:type="spellEnd"/>
      <w:r>
        <w:t xml:space="preserve"> </w:t>
      </w:r>
      <w:proofErr w:type="spellStart"/>
      <w:r>
        <w:t>Orlatica</w:t>
      </w:r>
      <w:proofErr w:type="spellEnd"/>
      <w:r>
        <w:t xml:space="preserve"> (58), </w:t>
      </w:r>
      <w:proofErr w:type="spellStart"/>
      <w:r>
        <w:t>Razza</w:t>
      </w:r>
      <w:proofErr w:type="spellEnd"/>
      <w:r>
        <w:t xml:space="preserve"> di </w:t>
      </w:r>
      <w:proofErr w:type="spellStart"/>
      <w:r>
        <w:t>Campegine</w:t>
      </w:r>
      <w:proofErr w:type="spellEnd"/>
      <w:r>
        <w:t xml:space="preserve"> (59), </w:t>
      </w:r>
      <w:proofErr w:type="spellStart"/>
      <w:r>
        <w:t>Fidenza</w:t>
      </w:r>
      <w:proofErr w:type="spellEnd"/>
      <w:r>
        <w:t xml:space="preserve"> loc. Ponte </w:t>
      </w:r>
      <w:proofErr w:type="spellStart"/>
      <w:r>
        <w:t>Ghiara</w:t>
      </w:r>
      <w:proofErr w:type="spellEnd"/>
      <w:r>
        <w:t xml:space="preserve"> (60), </w:t>
      </w:r>
      <w:proofErr w:type="spellStart"/>
      <w:r>
        <w:t>Travo</w:t>
      </w:r>
      <w:proofErr w:type="spellEnd"/>
      <w:r>
        <w:t xml:space="preserve"> (61), Le </w:t>
      </w:r>
      <w:proofErr w:type="spellStart"/>
      <w:r>
        <w:t>Mose</w:t>
      </w:r>
      <w:proofErr w:type="spellEnd"/>
      <w:r>
        <w:t xml:space="preserve"> (62), Piacenza (63), </w:t>
      </w:r>
      <w:proofErr w:type="spellStart"/>
      <w:r>
        <w:t>Vhò</w:t>
      </w:r>
      <w:proofErr w:type="spellEnd"/>
      <w:r>
        <w:t xml:space="preserve">-Campo </w:t>
      </w:r>
      <w:proofErr w:type="spellStart"/>
      <w:r>
        <w:t>Ceresole</w:t>
      </w:r>
      <w:proofErr w:type="spellEnd"/>
      <w:r>
        <w:t xml:space="preserve"> (64), Campo Sera </w:t>
      </w:r>
      <w:proofErr w:type="spellStart"/>
      <w:r>
        <w:t>Mattina</w:t>
      </w:r>
      <w:proofErr w:type="spellEnd"/>
      <w:r>
        <w:t xml:space="preserve"> (65), </w:t>
      </w:r>
      <w:proofErr w:type="spellStart"/>
      <w:r>
        <w:t>Mosio</w:t>
      </w:r>
      <w:proofErr w:type="spellEnd"/>
      <w:r>
        <w:t xml:space="preserve"> (66), </w:t>
      </w:r>
      <w:proofErr w:type="spellStart"/>
      <w:r>
        <w:t>Casalmoro</w:t>
      </w:r>
      <w:proofErr w:type="spellEnd"/>
      <w:r>
        <w:t xml:space="preserve"> (67), </w:t>
      </w:r>
      <w:proofErr w:type="spellStart"/>
      <w:r>
        <w:t>Ostiano</w:t>
      </w:r>
      <w:proofErr w:type="spellEnd"/>
      <w:r>
        <w:t xml:space="preserve"> </w:t>
      </w:r>
      <w:proofErr w:type="spellStart"/>
      <w:r>
        <w:t>Dugali</w:t>
      </w:r>
      <w:proofErr w:type="spellEnd"/>
      <w:r>
        <w:t xml:space="preserve"> </w:t>
      </w:r>
      <w:proofErr w:type="spellStart"/>
      <w:r>
        <w:t>Alti</w:t>
      </w:r>
      <w:proofErr w:type="spellEnd"/>
      <w:r>
        <w:t xml:space="preserve"> (68).</w:t>
      </w:r>
    </w:p>
    <w:p w:rsidR="007735C4" w:rsidRDefault="007735C4" w:rsidP="003724E0">
      <w:pPr>
        <w:jc w:val="both"/>
      </w:pPr>
    </w:p>
    <w:p w:rsidR="007735C4" w:rsidRDefault="007735C4" w:rsidP="003724E0">
      <w:pPr>
        <w:jc w:val="both"/>
      </w:pPr>
      <w:r>
        <w:rPr>
          <w:b/>
        </w:rPr>
        <w:t xml:space="preserve">Figure 3b: </w:t>
      </w:r>
      <w:r>
        <w:t xml:space="preserve">Key Copper Age and Bronze Age archaeological sites in the northern Apennines; Alba (1), Torre </w:t>
      </w:r>
      <w:proofErr w:type="spellStart"/>
      <w:r>
        <w:t>Mozza</w:t>
      </w:r>
      <w:proofErr w:type="spellEnd"/>
      <w:r>
        <w:t xml:space="preserve"> (2), Il </w:t>
      </w:r>
      <w:proofErr w:type="spellStart"/>
      <w:r>
        <w:t>Pertuso</w:t>
      </w:r>
      <w:proofErr w:type="spellEnd"/>
      <w:r>
        <w:t xml:space="preserve"> (3), </w:t>
      </w:r>
      <w:proofErr w:type="spellStart"/>
      <w:r>
        <w:t>Tana</w:t>
      </w:r>
      <w:proofErr w:type="spellEnd"/>
      <w:r>
        <w:t xml:space="preserve"> del Barletta (4), </w:t>
      </w:r>
      <w:proofErr w:type="spellStart"/>
      <w:r>
        <w:t>Arma</w:t>
      </w:r>
      <w:proofErr w:type="spellEnd"/>
      <w:r>
        <w:t xml:space="preserve"> di </w:t>
      </w:r>
      <w:proofErr w:type="spellStart"/>
      <w:r>
        <w:t>Nasino</w:t>
      </w:r>
      <w:proofErr w:type="spellEnd"/>
      <w:r>
        <w:t xml:space="preserve"> (5), </w:t>
      </w:r>
      <w:proofErr w:type="spellStart"/>
      <w:r>
        <w:t>Grotta</w:t>
      </w:r>
      <w:proofErr w:type="spellEnd"/>
      <w:r>
        <w:t xml:space="preserve"> </w:t>
      </w:r>
      <w:proofErr w:type="spellStart"/>
      <w:r>
        <w:t>Pertusello</w:t>
      </w:r>
      <w:proofErr w:type="spellEnd"/>
      <w:r>
        <w:t xml:space="preserve"> (6), </w:t>
      </w:r>
      <w:proofErr w:type="spellStart"/>
      <w:r>
        <w:t>Grotta</w:t>
      </w:r>
      <w:proofErr w:type="spellEnd"/>
      <w:r>
        <w:t xml:space="preserve"> del Ponte di </w:t>
      </w:r>
      <w:proofErr w:type="spellStart"/>
      <w:r>
        <w:t>Vara</w:t>
      </w:r>
      <w:proofErr w:type="spellEnd"/>
      <w:r>
        <w:t xml:space="preserve"> (7), </w:t>
      </w:r>
      <w:proofErr w:type="spellStart"/>
      <w:r>
        <w:t>Caverna</w:t>
      </w:r>
      <w:proofErr w:type="spellEnd"/>
      <w:r>
        <w:t xml:space="preserve"> del </w:t>
      </w:r>
      <w:proofErr w:type="spellStart"/>
      <w:r>
        <w:t>Frate</w:t>
      </w:r>
      <w:proofErr w:type="spellEnd"/>
      <w:r>
        <w:t xml:space="preserve"> (8), Arene Candide (9), </w:t>
      </w:r>
      <w:proofErr w:type="spellStart"/>
      <w:r>
        <w:t>Grotta</w:t>
      </w:r>
      <w:proofErr w:type="spellEnd"/>
      <w:r>
        <w:t xml:space="preserve"> </w:t>
      </w:r>
      <w:proofErr w:type="spellStart"/>
      <w:r>
        <w:t>delle</w:t>
      </w:r>
      <w:proofErr w:type="spellEnd"/>
      <w:r>
        <w:t xml:space="preserve"> </w:t>
      </w:r>
      <w:proofErr w:type="spellStart"/>
      <w:r>
        <w:t>Vacche</w:t>
      </w:r>
      <w:proofErr w:type="spellEnd"/>
      <w:r>
        <w:t xml:space="preserve"> (10), </w:t>
      </w:r>
      <w:proofErr w:type="spellStart"/>
      <w:r>
        <w:t>Caverna</w:t>
      </w:r>
      <w:proofErr w:type="spellEnd"/>
      <w:r>
        <w:t xml:space="preserve"> </w:t>
      </w:r>
      <w:proofErr w:type="spellStart"/>
      <w:r>
        <w:t>dell’Acqua</w:t>
      </w:r>
      <w:proofErr w:type="spellEnd"/>
      <w:r>
        <w:t xml:space="preserve"> (11), </w:t>
      </w:r>
      <w:proofErr w:type="spellStart"/>
      <w:r>
        <w:t>Bergeggi</w:t>
      </w:r>
      <w:proofErr w:type="spellEnd"/>
      <w:r>
        <w:t xml:space="preserve"> (12), </w:t>
      </w:r>
      <w:proofErr w:type="spellStart"/>
      <w:r>
        <w:t>Bric</w:t>
      </w:r>
      <w:proofErr w:type="spellEnd"/>
      <w:r>
        <w:t xml:space="preserve"> </w:t>
      </w:r>
      <w:proofErr w:type="spellStart"/>
      <w:r>
        <w:t>Tana</w:t>
      </w:r>
      <w:proofErr w:type="spellEnd"/>
      <w:r>
        <w:t xml:space="preserve"> (13), Monte </w:t>
      </w:r>
      <w:proofErr w:type="spellStart"/>
      <w:r>
        <w:t>Porcile</w:t>
      </w:r>
      <w:proofErr w:type="spellEnd"/>
      <w:r>
        <w:t xml:space="preserve"> (14), </w:t>
      </w:r>
      <w:proofErr w:type="spellStart"/>
      <w:r>
        <w:t>Uccellato</w:t>
      </w:r>
      <w:proofErr w:type="spellEnd"/>
      <w:r>
        <w:t xml:space="preserve"> (15), </w:t>
      </w:r>
      <w:proofErr w:type="spellStart"/>
      <w:r>
        <w:t>Recco</w:t>
      </w:r>
      <w:proofErr w:type="spellEnd"/>
      <w:r>
        <w:t xml:space="preserve"> (16), </w:t>
      </w:r>
      <w:proofErr w:type="spellStart"/>
      <w:r>
        <w:t>Camogli</w:t>
      </w:r>
      <w:proofErr w:type="spellEnd"/>
      <w:r>
        <w:t xml:space="preserve"> (17), </w:t>
      </w:r>
      <w:proofErr w:type="spellStart"/>
      <w:r>
        <w:t>Castellaro</w:t>
      </w:r>
      <w:proofErr w:type="spellEnd"/>
      <w:r>
        <w:t xml:space="preserve"> di </w:t>
      </w:r>
      <w:proofErr w:type="spellStart"/>
      <w:r>
        <w:t>Uscio</w:t>
      </w:r>
      <w:proofErr w:type="spellEnd"/>
      <w:r>
        <w:t xml:space="preserve"> (18), </w:t>
      </w:r>
      <w:proofErr w:type="spellStart"/>
      <w:r>
        <w:t>Ferrada</w:t>
      </w:r>
      <w:proofErr w:type="spellEnd"/>
      <w:r>
        <w:t xml:space="preserve"> (19), </w:t>
      </w:r>
      <w:proofErr w:type="spellStart"/>
      <w:r>
        <w:t>Corsiglia</w:t>
      </w:r>
      <w:proofErr w:type="spellEnd"/>
      <w:r>
        <w:t xml:space="preserve"> (20), Piano </w:t>
      </w:r>
      <w:proofErr w:type="spellStart"/>
      <w:r>
        <w:t>Brogione</w:t>
      </w:r>
      <w:proofErr w:type="spellEnd"/>
      <w:r>
        <w:t xml:space="preserve"> (21), </w:t>
      </w:r>
      <w:proofErr w:type="spellStart"/>
      <w:r>
        <w:t>Drusco</w:t>
      </w:r>
      <w:proofErr w:type="spellEnd"/>
      <w:r>
        <w:t xml:space="preserve"> (22), </w:t>
      </w:r>
      <w:proofErr w:type="spellStart"/>
      <w:r>
        <w:t>Aiona</w:t>
      </w:r>
      <w:proofErr w:type="spellEnd"/>
      <w:r>
        <w:t xml:space="preserve"> (23), Prato </w:t>
      </w:r>
      <w:proofErr w:type="spellStart"/>
      <w:r>
        <w:t>Mollo</w:t>
      </w:r>
      <w:proofErr w:type="spellEnd"/>
      <w:r>
        <w:t xml:space="preserve"> (24), Bosco </w:t>
      </w:r>
      <w:proofErr w:type="spellStart"/>
      <w:r>
        <w:t>delle</w:t>
      </w:r>
      <w:proofErr w:type="spellEnd"/>
      <w:r>
        <w:t xml:space="preserve"> Lame (25), </w:t>
      </w:r>
      <w:proofErr w:type="spellStart"/>
      <w:r>
        <w:t>Giacopiane</w:t>
      </w:r>
      <w:proofErr w:type="spellEnd"/>
      <w:r>
        <w:t xml:space="preserve"> (26), Val </w:t>
      </w:r>
      <w:proofErr w:type="spellStart"/>
      <w:r>
        <w:t>Frascarese</w:t>
      </w:r>
      <w:proofErr w:type="spellEnd"/>
      <w:r>
        <w:t xml:space="preserve"> (27), </w:t>
      </w:r>
      <w:proofErr w:type="spellStart"/>
      <w:r>
        <w:t>Libiola</w:t>
      </w:r>
      <w:proofErr w:type="spellEnd"/>
      <w:r>
        <w:t xml:space="preserve"> &amp; Monte Loreto (28), </w:t>
      </w:r>
      <w:proofErr w:type="spellStart"/>
      <w:r>
        <w:t>Lagorara</w:t>
      </w:r>
      <w:proofErr w:type="spellEnd"/>
      <w:r>
        <w:t xml:space="preserve"> (29), </w:t>
      </w:r>
      <w:proofErr w:type="spellStart"/>
      <w:r>
        <w:t>Grotta</w:t>
      </w:r>
      <w:proofErr w:type="spellEnd"/>
      <w:r>
        <w:t xml:space="preserve"> Prima </w:t>
      </w:r>
      <w:proofErr w:type="spellStart"/>
      <w:r>
        <w:t>Ciappa</w:t>
      </w:r>
      <w:proofErr w:type="spellEnd"/>
      <w:r>
        <w:t xml:space="preserve"> (30), </w:t>
      </w:r>
      <w:proofErr w:type="spellStart"/>
      <w:r>
        <w:t>Tana</w:t>
      </w:r>
      <w:proofErr w:type="spellEnd"/>
      <w:r>
        <w:t xml:space="preserve"> </w:t>
      </w:r>
      <w:proofErr w:type="spellStart"/>
      <w:r>
        <w:t>delle</w:t>
      </w:r>
      <w:proofErr w:type="spellEnd"/>
      <w:r>
        <w:t xml:space="preserve"> Fate (31), </w:t>
      </w:r>
      <w:proofErr w:type="spellStart"/>
      <w:r>
        <w:t>Torza</w:t>
      </w:r>
      <w:proofErr w:type="spellEnd"/>
      <w:r>
        <w:t xml:space="preserve"> (32), Cota (33), </w:t>
      </w:r>
      <w:proofErr w:type="spellStart"/>
      <w:r>
        <w:t>Mezzema</w:t>
      </w:r>
      <w:proofErr w:type="spellEnd"/>
      <w:r>
        <w:t xml:space="preserve"> (34), Monte </w:t>
      </w:r>
      <w:proofErr w:type="spellStart"/>
      <w:r>
        <w:t>Carmo</w:t>
      </w:r>
      <w:proofErr w:type="spellEnd"/>
      <w:r>
        <w:t xml:space="preserve"> (35), </w:t>
      </w:r>
      <w:proofErr w:type="spellStart"/>
      <w:r>
        <w:t>Pignone</w:t>
      </w:r>
      <w:proofErr w:type="spellEnd"/>
      <w:r>
        <w:t xml:space="preserve"> (36), Monte </w:t>
      </w:r>
      <w:proofErr w:type="spellStart"/>
      <w:r>
        <w:t>Parodi</w:t>
      </w:r>
      <w:proofErr w:type="spellEnd"/>
      <w:r>
        <w:t xml:space="preserve"> (37), </w:t>
      </w:r>
      <w:proofErr w:type="spellStart"/>
      <w:r>
        <w:t>Pianaccia</w:t>
      </w:r>
      <w:proofErr w:type="spellEnd"/>
      <w:r>
        <w:t xml:space="preserve"> di </w:t>
      </w:r>
      <w:proofErr w:type="spellStart"/>
      <w:r>
        <w:t>Suvero</w:t>
      </w:r>
      <w:proofErr w:type="spellEnd"/>
      <w:r>
        <w:t xml:space="preserve"> (38), </w:t>
      </w:r>
      <w:proofErr w:type="spellStart"/>
      <w:r>
        <w:t>Zignago</w:t>
      </w:r>
      <w:proofErr w:type="spellEnd"/>
      <w:r>
        <w:t xml:space="preserve"> (39), </w:t>
      </w:r>
      <w:proofErr w:type="spellStart"/>
      <w:r>
        <w:t>Vezzola</w:t>
      </w:r>
      <w:proofErr w:type="spellEnd"/>
      <w:r>
        <w:t xml:space="preserve"> (40), </w:t>
      </w:r>
      <w:proofErr w:type="spellStart"/>
      <w:r>
        <w:t>Veppo</w:t>
      </w:r>
      <w:proofErr w:type="spellEnd"/>
      <w:r>
        <w:t xml:space="preserve"> (41), </w:t>
      </w:r>
      <w:proofErr w:type="spellStart"/>
      <w:r>
        <w:t>Grotta</w:t>
      </w:r>
      <w:proofErr w:type="spellEnd"/>
      <w:r>
        <w:t xml:space="preserve"> </w:t>
      </w:r>
      <w:proofErr w:type="spellStart"/>
      <w:r>
        <w:t>della</w:t>
      </w:r>
      <w:proofErr w:type="spellEnd"/>
      <w:r>
        <w:t xml:space="preserve"> Guerra - Villa </w:t>
      </w:r>
      <w:proofErr w:type="spellStart"/>
      <w:r>
        <w:t>Collemandina</w:t>
      </w:r>
      <w:proofErr w:type="spellEnd"/>
      <w:r>
        <w:t xml:space="preserve"> (42), </w:t>
      </w:r>
      <w:proofErr w:type="spellStart"/>
      <w:r>
        <w:t>Grotta</w:t>
      </w:r>
      <w:proofErr w:type="spellEnd"/>
      <w:r>
        <w:t xml:space="preserve"> </w:t>
      </w:r>
      <w:proofErr w:type="spellStart"/>
      <w:r>
        <w:t>delle</w:t>
      </w:r>
      <w:proofErr w:type="spellEnd"/>
      <w:r>
        <w:t xml:space="preserve"> Fate di </w:t>
      </w:r>
      <w:proofErr w:type="spellStart"/>
      <w:r>
        <w:t>Calomini</w:t>
      </w:r>
      <w:proofErr w:type="spellEnd"/>
      <w:r>
        <w:t xml:space="preserve"> (43), </w:t>
      </w:r>
      <w:proofErr w:type="spellStart"/>
      <w:r>
        <w:t>Buca</w:t>
      </w:r>
      <w:proofErr w:type="spellEnd"/>
      <w:r>
        <w:t xml:space="preserve"> di </w:t>
      </w:r>
      <w:proofErr w:type="spellStart"/>
      <w:r>
        <w:t>Castelvenere</w:t>
      </w:r>
      <w:proofErr w:type="spellEnd"/>
      <w:r>
        <w:t xml:space="preserve"> - </w:t>
      </w:r>
      <w:proofErr w:type="spellStart"/>
      <w:r>
        <w:t>Fabbriche</w:t>
      </w:r>
      <w:proofErr w:type="spellEnd"/>
      <w:r>
        <w:t xml:space="preserve"> di </w:t>
      </w:r>
      <w:proofErr w:type="spellStart"/>
      <w:r>
        <w:t>Vallico</w:t>
      </w:r>
      <w:proofErr w:type="spellEnd"/>
      <w:r>
        <w:t xml:space="preserve"> (44), </w:t>
      </w:r>
      <w:proofErr w:type="spellStart"/>
      <w:r>
        <w:t>Buca</w:t>
      </w:r>
      <w:proofErr w:type="spellEnd"/>
      <w:r>
        <w:t xml:space="preserve"> </w:t>
      </w:r>
      <w:proofErr w:type="spellStart"/>
      <w:r>
        <w:t>delle</w:t>
      </w:r>
      <w:proofErr w:type="spellEnd"/>
      <w:r>
        <w:t xml:space="preserve"> Fate di Cardoso (45), </w:t>
      </w:r>
      <w:proofErr w:type="spellStart"/>
      <w:r>
        <w:t>Buca</w:t>
      </w:r>
      <w:proofErr w:type="spellEnd"/>
      <w:r>
        <w:t xml:space="preserve"> </w:t>
      </w:r>
      <w:proofErr w:type="spellStart"/>
      <w:r>
        <w:t>dei</w:t>
      </w:r>
      <w:proofErr w:type="spellEnd"/>
      <w:r>
        <w:t xml:space="preserve"> </w:t>
      </w:r>
      <w:proofErr w:type="spellStart"/>
      <w:r>
        <w:t>Goti</w:t>
      </w:r>
      <w:proofErr w:type="spellEnd"/>
      <w:r>
        <w:t xml:space="preserve"> (46), </w:t>
      </w:r>
      <w:proofErr w:type="spellStart"/>
      <w:r>
        <w:t>Grotta</w:t>
      </w:r>
      <w:proofErr w:type="spellEnd"/>
      <w:r>
        <w:t xml:space="preserve"> del </w:t>
      </w:r>
      <w:proofErr w:type="spellStart"/>
      <w:r>
        <w:t>Tanaccio</w:t>
      </w:r>
      <w:proofErr w:type="spellEnd"/>
      <w:r>
        <w:t xml:space="preserve"> &amp; </w:t>
      </w:r>
      <w:proofErr w:type="spellStart"/>
      <w:r>
        <w:t>Grotta</w:t>
      </w:r>
      <w:proofErr w:type="spellEnd"/>
      <w:r>
        <w:t xml:space="preserve"> </w:t>
      </w:r>
      <w:proofErr w:type="spellStart"/>
      <w:r>
        <w:t>delle</w:t>
      </w:r>
      <w:proofErr w:type="spellEnd"/>
      <w:r>
        <w:t xml:space="preserve"> </w:t>
      </w:r>
      <w:proofErr w:type="spellStart"/>
      <w:r>
        <w:t>Pianacce</w:t>
      </w:r>
      <w:proofErr w:type="spellEnd"/>
      <w:r>
        <w:t xml:space="preserve"> (47), </w:t>
      </w:r>
      <w:proofErr w:type="spellStart"/>
      <w:r>
        <w:t>Grotta</w:t>
      </w:r>
      <w:proofErr w:type="spellEnd"/>
      <w:r>
        <w:t xml:space="preserve"> </w:t>
      </w:r>
      <w:proofErr w:type="spellStart"/>
      <w:r>
        <w:t>della</w:t>
      </w:r>
      <w:proofErr w:type="spellEnd"/>
      <w:r>
        <w:t xml:space="preserve"> </w:t>
      </w:r>
      <w:proofErr w:type="spellStart"/>
      <w:r>
        <w:t>Penna</w:t>
      </w:r>
      <w:proofErr w:type="spellEnd"/>
      <w:r>
        <w:t xml:space="preserve"> </w:t>
      </w:r>
      <w:proofErr w:type="spellStart"/>
      <w:r>
        <w:t>Buia</w:t>
      </w:r>
      <w:proofErr w:type="spellEnd"/>
      <w:r>
        <w:t xml:space="preserve"> (48), </w:t>
      </w:r>
      <w:proofErr w:type="spellStart"/>
      <w:r>
        <w:t>Grotta</w:t>
      </w:r>
      <w:proofErr w:type="spellEnd"/>
      <w:r>
        <w:t xml:space="preserve"> del </w:t>
      </w:r>
      <w:proofErr w:type="spellStart"/>
      <w:r>
        <w:t>Tambugione</w:t>
      </w:r>
      <w:proofErr w:type="spellEnd"/>
      <w:r>
        <w:t xml:space="preserve"> (49), </w:t>
      </w:r>
      <w:proofErr w:type="spellStart"/>
      <w:r>
        <w:t>Tana</w:t>
      </w:r>
      <w:proofErr w:type="spellEnd"/>
      <w:r>
        <w:t xml:space="preserve"> </w:t>
      </w:r>
      <w:proofErr w:type="spellStart"/>
      <w:r>
        <w:t>della</w:t>
      </w:r>
      <w:proofErr w:type="spellEnd"/>
      <w:r>
        <w:t xml:space="preserve"> Volpe (50), </w:t>
      </w:r>
      <w:proofErr w:type="spellStart"/>
      <w:r>
        <w:t>Buca</w:t>
      </w:r>
      <w:proofErr w:type="spellEnd"/>
      <w:r>
        <w:t xml:space="preserve"> </w:t>
      </w:r>
      <w:proofErr w:type="spellStart"/>
      <w:r>
        <w:t>della</w:t>
      </w:r>
      <w:proofErr w:type="spellEnd"/>
      <w:r>
        <w:t xml:space="preserve"> </w:t>
      </w:r>
      <w:proofErr w:type="spellStart"/>
      <w:r>
        <w:t>Gigia</w:t>
      </w:r>
      <w:proofErr w:type="spellEnd"/>
      <w:r>
        <w:t xml:space="preserve"> (51), </w:t>
      </w:r>
      <w:proofErr w:type="spellStart"/>
      <w:r>
        <w:t>Buca</w:t>
      </w:r>
      <w:proofErr w:type="spellEnd"/>
      <w:r>
        <w:t xml:space="preserve"> di </w:t>
      </w:r>
      <w:proofErr w:type="spellStart"/>
      <w:r>
        <w:t>Fondineto</w:t>
      </w:r>
      <w:proofErr w:type="spellEnd"/>
      <w:r>
        <w:t xml:space="preserve"> (52), </w:t>
      </w:r>
      <w:proofErr w:type="spellStart"/>
      <w:r>
        <w:t>Buca</w:t>
      </w:r>
      <w:proofErr w:type="spellEnd"/>
      <w:r>
        <w:t xml:space="preserve"> </w:t>
      </w:r>
      <w:proofErr w:type="spellStart"/>
      <w:r>
        <w:t>delle</w:t>
      </w:r>
      <w:proofErr w:type="spellEnd"/>
      <w:r>
        <w:t xml:space="preserve"> Fate-</w:t>
      </w:r>
      <w:proofErr w:type="spellStart"/>
      <w:r>
        <w:t>Sud</w:t>
      </w:r>
      <w:proofErr w:type="spellEnd"/>
      <w:r>
        <w:t xml:space="preserve"> (53), </w:t>
      </w:r>
      <w:proofErr w:type="spellStart"/>
      <w:r>
        <w:t>Buca</w:t>
      </w:r>
      <w:proofErr w:type="spellEnd"/>
      <w:r>
        <w:t xml:space="preserve"> </w:t>
      </w:r>
      <w:proofErr w:type="spellStart"/>
      <w:r>
        <w:t>delle</w:t>
      </w:r>
      <w:proofErr w:type="spellEnd"/>
      <w:r>
        <w:t xml:space="preserve"> Fate-Nord (54), </w:t>
      </w:r>
      <w:proofErr w:type="spellStart"/>
      <w:r>
        <w:t>Buca</w:t>
      </w:r>
      <w:proofErr w:type="spellEnd"/>
      <w:r>
        <w:t xml:space="preserve"> </w:t>
      </w:r>
      <w:proofErr w:type="spellStart"/>
      <w:r>
        <w:t>Tana</w:t>
      </w:r>
      <w:proofErr w:type="spellEnd"/>
      <w:r>
        <w:t xml:space="preserve"> di </w:t>
      </w:r>
      <w:proofErr w:type="spellStart"/>
      <w:r>
        <w:t>Maggiano</w:t>
      </w:r>
      <w:proofErr w:type="spellEnd"/>
      <w:r>
        <w:t xml:space="preserve"> (55), </w:t>
      </w:r>
      <w:proofErr w:type="spellStart"/>
      <w:r>
        <w:t>Spacco</w:t>
      </w:r>
      <w:proofErr w:type="spellEnd"/>
      <w:r>
        <w:t xml:space="preserve"> </w:t>
      </w:r>
      <w:proofErr w:type="spellStart"/>
      <w:r>
        <w:t>dell’Assassina</w:t>
      </w:r>
      <w:proofErr w:type="spellEnd"/>
      <w:r>
        <w:t xml:space="preserve"> (56), </w:t>
      </w:r>
      <w:proofErr w:type="spellStart"/>
      <w:r>
        <w:t>Grotta</w:t>
      </w:r>
      <w:proofErr w:type="spellEnd"/>
      <w:r>
        <w:t xml:space="preserve"> </w:t>
      </w:r>
      <w:proofErr w:type="spellStart"/>
      <w:r>
        <w:t>dell’Inferno</w:t>
      </w:r>
      <w:proofErr w:type="spellEnd"/>
      <w:r>
        <w:t xml:space="preserve"> (57), </w:t>
      </w:r>
      <w:proofErr w:type="spellStart"/>
      <w:r>
        <w:t>Grotta</w:t>
      </w:r>
      <w:proofErr w:type="spellEnd"/>
      <w:r>
        <w:t xml:space="preserve"> del </w:t>
      </w:r>
      <w:proofErr w:type="spellStart"/>
      <w:r>
        <w:t>Castello</w:t>
      </w:r>
      <w:proofErr w:type="spellEnd"/>
      <w:r>
        <w:t xml:space="preserve"> (58), </w:t>
      </w:r>
      <w:proofErr w:type="spellStart"/>
      <w:r>
        <w:lastRenderedPageBreak/>
        <w:t>Grotta</w:t>
      </w:r>
      <w:proofErr w:type="spellEnd"/>
      <w:r>
        <w:t xml:space="preserve"> </w:t>
      </w:r>
      <w:proofErr w:type="spellStart"/>
      <w:r>
        <w:t>della</w:t>
      </w:r>
      <w:proofErr w:type="spellEnd"/>
      <w:r>
        <w:t xml:space="preserve"> </w:t>
      </w:r>
      <w:proofErr w:type="spellStart"/>
      <w:r>
        <w:t>Scaletta</w:t>
      </w:r>
      <w:proofErr w:type="spellEnd"/>
      <w:r>
        <w:t xml:space="preserve"> (59), </w:t>
      </w:r>
      <w:proofErr w:type="spellStart"/>
      <w:r>
        <w:t>Spacco</w:t>
      </w:r>
      <w:proofErr w:type="spellEnd"/>
      <w:r>
        <w:t xml:space="preserve"> </w:t>
      </w:r>
      <w:proofErr w:type="spellStart"/>
      <w:r>
        <w:t>delle</w:t>
      </w:r>
      <w:proofErr w:type="spellEnd"/>
      <w:r>
        <w:t xml:space="preserve"> </w:t>
      </w:r>
      <w:proofErr w:type="spellStart"/>
      <w:r>
        <w:t>Monete</w:t>
      </w:r>
      <w:proofErr w:type="spellEnd"/>
      <w:r>
        <w:t xml:space="preserve"> (60), </w:t>
      </w:r>
      <w:proofErr w:type="spellStart"/>
      <w:r>
        <w:t>Grotta</w:t>
      </w:r>
      <w:proofErr w:type="spellEnd"/>
      <w:r>
        <w:t xml:space="preserve"> del </w:t>
      </w:r>
      <w:proofErr w:type="spellStart"/>
      <w:r>
        <w:t>Borghetto</w:t>
      </w:r>
      <w:proofErr w:type="spellEnd"/>
      <w:r>
        <w:t xml:space="preserve"> (61), </w:t>
      </w:r>
      <w:proofErr w:type="spellStart"/>
      <w:r>
        <w:t>Riparo</w:t>
      </w:r>
      <w:proofErr w:type="spellEnd"/>
      <w:r>
        <w:t xml:space="preserve"> </w:t>
      </w:r>
      <w:proofErr w:type="spellStart"/>
      <w:r>
        <w:t>Romita</w:t>
      </w:r>
      <w:proofErr w:type="spellEnd"/>
      <w:r>
        <w:t xml:space="preserve"> di </w:t>
      </w:r>
      <w:proofErr w:type="spellStart"/>
      <w:r>
        <w:t>Asciano</w:t>
      </w:r>
      <w:proofErr w:type="spellEnd"/>
      <w:r>
        <w:t xml:space="preserve"> (62), </w:t>
      </w:r>
      <w:proofErr w:type="spellStart"/>
      <w:r>
        <w:t>Grotta</w:t>
      </w:r>
      <w:proofErr w:type="spellEnd"/>
      <w:r>
        <w:t xml:space="preserve"> del Leone (63), </w:t>
      </w:r>
      <w:proofErr w:type="spellStart"/>
      <w:r>
        <w:t>Semitella</w:t>
      </w:r>
      <w:proofErr w:type="spellEnd"/>
      <w:r>
        <w:t xml:space="preserve"> (64), </w:t>
      </w:r>
      <w:proofErr w:type="spellStart"/>
      <w:r>
        <w:t>Querciola</w:t>
      </w:r>
      <w:proofErr w:type="spellEnd"/>
      <w:r>
        <w:t xml:space="preserve"> (65), </w:t>
      </w:r>
      <w:proofErr w:type="spellStart"/>
      <w:r>
        <w:t>Lastruccia</w:t>
      </w:r>
      <w:proofErr w:type="spellEnd"/>
      <w:r>
        <w:t xml:space="preserve"> (66), Via </w:t>
      </w:r>
      <w:proofErr w:type="spellStart"/>
      <w:r>
        <w:t>Bruschi</w:t>
      </w:r>
      <w:proofErr w:type="spellEnd"/>
      <w:r>
        <w:t xml:space="preserve"> (67), San </w:t>
      </w:r>
      <w:proofErr w:type="spellStart"/>
      <w:r>
        <w:t>Cesario</w:t>
      </w:r>
      <w:proofErr w:type="spellEnd"/>
      <w:r>
        <w:t xml:space="preserve"> </w:t>
      </w:r>
      <w:proofErr w:type="spellStart"/>
      <w:r>
        <w:t>sul</w:t>
      </w:r>
      <w:proofErr w:type="spellEnd"/>
      <w:r>
        <w:t xml:space="preserve"> </w:t>
      </w:r>
      <w:proofErr w:type="spellStart"/>
      <w:r>
        <w:t>Panaro</w:t>
      </w:r>
      <w:proofErr w:type="spellEnd"/>
      <w:r>
        <w:t xml:space="preserve"> cava </w:t>
      </w:r>
      <w:proofErr w:type="spellStart"/>
      <w:r>
        <w:t>Marchi</w:t>
      </w:r>
      <w:proofErr w:type="spellEnd"/>
      <w:r>
        <w:t xml:space="preserve"> (68), </w:t>
      </w:r>
      <w:proofErr w:type="spellStart"/>
      <w:r>
        <w:t>Spilamberto</w:t>
      </w:r>
      <w:proofErr w:type="spellEnd"/>
      <w:r>
        <w:t xml:space="preserve"> (69), </w:t>
      </w:r>
      <w:proofErr w:type="spellStart"/>
      <w:r>
        <w:t>Castelnuovo</w:t>
      </w:r>
      <w:proofErr w:type="spellEnd"/>
      <w:r>
        <w:t xml:space="preserve"> </w:t>
      </w:r>
      <w:proofErr w:type="spellStart"/>
      <w:r>
        <w:t>Rangone</w:t>
      </w:r>
      <w:proofErr w:type="spellEnd"/>
      <w:r>
        <w:t xml:space="preserve"> – Montale (70), </w:t>
      </w:r>
      <w:proofErr w:type="spellStart"/>
      <w:r>
        <w:t>Casinalbo</w:t>
      </w:r>
      <w:proofErr w:type="spellEnd"/>
      <w:r>
        <w:t xml:space="preserve"> (71), </w:t>
      </w:r>
      <w:proofErr w:type="spellStart"/>
      <w:r>
        <w:t>Rubiera</w:t>
      </w:r>
      <w:proofErr w:type="spellEnd"/>
      <w:r>
        <w:t xml:space="preserve"> (72), Santa Rosa a </w:t>
      </w:r>
      <w:proofErr w:type="spellStart"/>
      <w:r>
        <w:t>Fodico</w:t>
      </w:r>
      <w:proofErr w:type="spellEnd"/>
      <w:r>
        <w:t xml:space="preserve"> di </w:t>
      </w:r>
      <w:proofErr w:type="spellStart"/>
      <w:r>
        <w:t>Poviglio</w:t>
      </w:r>
      <w:proofErr w:type="spellEnd"/>
      <w:r>
        <w:t xml:space="preserve"> (73), </w:t>
      </w:r>
      <w:proofErr w:type="spellStart"/>
      <w:r>
        <w:t>Sant’Ilario</w:t>
      </w:r>
      <w:proofErr w:type="spellEnd"/>
      <w:r>
        <w:t xml:space="preserve"> </w:t>
      </w:r>
      <w:proofErr w:type="spellStart"/>
      <w:r>
        <w:t>d’Enza</w:t>
      </w:r>
      <w:proofErr w:type="spellEnd"/>
      <w:r>
        <w:t xml:space="preserve"> (74), </w:t>
      </w:r>
      <w:proofErr w:type="spellStart"/>
      <w:r>
        <w:t>Chiaravalle</w:t>
      </w:r>
      <w:proofErr w:type="spellEnd"/>
      <w:r>
        <w:t xml:space="preserve"> </w:t>
      </w:r>
      <w:proofErr w:type="spellStart"/>
      <w:r>
        <w:t>della</w:t>
      </w:r>
      <w:proofErr w:type="spellEnd"/>
      <w:r>
        <w:t xml:space="preserve"> </w:t>
      </w:r>
      <w:proofErr w:type="spellStart"/>
      <w:r>
        <w:t>Colomba</w:t>
      </w:r>
      <w:proofErr w:type="spellEnd"/>
      <w:r>
        <w:t xml:space="preserve"> (75), </w:t>
      </w:r>
      <w:proofErr w:type="spellStart"/>
      <w:r>
        <w:t>Remedello</w:t>
      </w:r>
      <w:proofErr w:type="spellEnd"/>
      <w:r>
        <w:t xml:space="preserve"> (76).</w:t>
      </w:r>
    </w:p>
    <w:p w:rsidR="007735C4" w:rsidRDefault="007735C4" w:rsidP="003724E0">
      <w:pPr>
        <w:jc w:val="both"/>
        <w:rPr>
          <w:b/>
        </w:rPr>
      </w:pPr>
    </w:p>
    <w:p w:rsidR="007735C4" w:rsidRDefault="007735C4" w:rsidP="003724E0">
      <w:pPr>
        <w:jc w:val="both"/>
        <w:rPr>
          <w:b/>
          <w:lang w:val="it-IT"/>
        </w:rPr>
      </w:pPr>
      <w:r>
        <w:rPr>
          <w:b/>
          <w:lang w:val="it-IT"/>
        </w:rPr>
        <w:t xml:space="preserve">Figure 4: </w:t>
      </w:r>
      <w:r>
        <w:rPr>
          <w:lang w:val="it-IT"/>
        </w:rPr>
        <w:t>Prato Spilla ‘A’ (north facing).</w:t>
      </w:r>
    </w:p>
    <w:p w:rsidR="007735C4" w:rsidRDefault="007735C4" w:rsidP="003724E0">
      <w:pPr>
        <w:jc w:val="both"/>
        <w:rPr>
          <w:b/>
        </w:rPr>
      </w:pPr>
    </w:p>
    <w:p w:rsidR="007735C4" w:rsidRDefault="007735C4" w:rsidP="003724E0">
      <w:pPr>
        <w:jc w:val="both"/>
        <w:rPr>
          <w:b/>
        </w:rPr>
      </w:pPr>
      <w:r>
        <w:rPr>
          <w:b/>
        </w:rPr>
        <w:t xml:space="preserve">Figure 5: </w:t>
      </w:r>
      <w:r>
        <w:t>Rovegno. Selected taxa pollen diagram. Values expressed as a % of total land pollen.</w:t>
      </w:r>
    </w:p>
    <w:p w:rsidR="007735C4" w:rsidRDefault="007735C4" w:rsidP="003724E0">
      <w:pPr>
        <w:jc w:val="both"/>
        <w:rPr>
          <w:b/>
        </w:rPr>
      </w:pPr>
    </w:p>
    <w:p w:rsidR="007735C4" w:rsidRDefault="007735C4" w:rsidP="003724E0">
      <w:pPr>
        <w:jc w:val="both"/>
      </w:pPr>
      <w:r>
        <w:rPr>
          <w:b/>
        </w:rPr>
        <w:t xml:space="preserve">Figure 6: </w:t>
      </w:r>
      <w:r>
        <w:t xml:space="preserve">Prato Spilla ‘A’. Selected taxa NPP diagram (x10 exaggeration). Values expressed as % of total fungal spores + algal NPPs. Ecological groupings according to Krug </w:t>
      </w:r>
      <w:r>
        <w:rPr>
          <w:i/>
        </w:rPr>
        <w:t>et al.</w:t>
      </w:r>
      <w:r>
        <w:t xml:space="preserve"> 2004.</w:t>
      </w:r>
    </w:p>
    <w:p w:rsidR="007735C4" w:rsidRDefault="007735C4" w:rsidP="003724E0">
      <w:pPr>
        <w:jc w:val="both"/>
      </w:pPr>
    </w:p>
    <w:p w:rsidR="007735C4" w:rsidRDefault="007735C4" w:rsidP="003724E0">
      <w:pPr>
        <w:jc w:val="both"/>
        <w:rPr>
          <w:lang w:val="en-US"/>
        </w:rPr>
      </w:pPr>
      <w:r>
        <w:rPr>
          <w:b/>
          <w:lang w:val="en-US"/>
        </w:rPr>
        <w:t>Figure 7:</w:t>
      </w:r>
      <w:r>
        <w:rPr>
          <w:lang w:val="en-US"/>
        </w:rPr>
        <w:t xml:space="preserve"> Prato Spilla ‘A’. Obligate and potentially coprophilous fungal spores:</w:t>
      </w:r>
    </w:p>
    <w:p w:rsidR="007735C4" w:rsidRDefault="007735C4" w:rsidP="003724E0">
      <w:pPr>
        <w:jc w:val="both"/>
        <w:rPr>
          <w:lang w:val="it-IT"/>
        </w:rPr>
      </w:pPr>
      <w:r>
        <w:rPr>
          <w:b/>
          <w:lang w:val="it-IT"/>
        </w:rPr>
        <w:t xml:space="preserve">a. </w:t>
      </w:r>
      <w:r>
        <w:rPr>
          <w:lang w:val="it-IT"/>
        </w:rPr>
        <w:t>type 55B (Melanosporaceae)</w:t>
      </w:r>
      <w:r>
        <w:rPr>
          <w:b/>
          <w:lang w:val="it-IT"/>
        </w:rPr>
        <w:t xml:space="preserve"> b. </w:t>
      </w:r>
      <w:r>
        <w:rPr>
          <w:i/>
          <w:lang w:val="it-IT"/>
        </w:rPr>
        <w:t>Cercophora</w:t>
      </w:r>
      <w:r>
        <w:rPr>
          <w:lang w:val="it-IT"/>
        </w:rPr>
        <w:t>-type (t. 112)</w:t>
      </w:r>
      <w:r>
        <w:rPr>
          <w:b/>
          <w:lang w:val="it-IT"/>
        </w:rPr>
        <w:t xml:space="preserve"> c. </w:t>
      </w:r>
      <w:r>
        <w:rPr>
          <w:i/>
          <w:lang w:val="it-IT"/>
        </w:rPr>
        <w:t>Sporormiella</w:t>
      </w:r>
      <w:r>
        <w:rPr>
          <w:lang w:val="it-IT"/>
        </w:rPr>
        <w:t>-type (t. 113)</w:t>
      </w:r>
      <w:r>
        <w:rPr>
          <w:b/>
          <w:lang w:val="it-IT"/>
        </w:rPr>
        <w:t xml:space="preserve"> d. </w:t>
      </w:r>
      <w:r>
        <w:rPr>
          <w:i/>
          <w:lang w:val="it-IT"/>
        </w:rPr>
        <w:t>Delitschia</w:t>
      </w:r>
      <w:r>
        <w:rPr>
          <w:lang w:val="it-IT"/>
        </w:rPr>
        <w:t xml:space="preserve"> sp.</w:t>
      </w:r>
      <w:r>
        <w:rPr>
          <w:b/>
          <w:lang w:val="it-IT"/>
        </w:rPr>
        <w:t xml:space="preserve"> e. </w:t>
      </w:r>
      <w:r>
        <w:rPr>
          <w:i/>
          <w:lang w:val="it-IT"/>
        </w:rPr>
        <w:t>Sordaria</w:t>
      </w:r>
      <w:r>
        <w:rPr>
          <w:lang w:val="it-IT"/>
        </w:rPr>
        <w:t>-type (t. 55A).</w:t>
      </w:r>
      <w:r>
        <w:rPr>
          <w:b/>
          <w:lang w:val="it-IT"/>
        </w:rPr>
        <w:t xml:space="preserve"> </w:t>
      </w:r>
      <w:r>
        <w:rPr>
          <w:lang w:val="it-IT"/>
        </w:rPr>
        <w:t>Scale bar = 10 μm.</w:t>
      </w:r>
    </w:p>
    <w:p w:rsidR="007735C4" w:rsidRDefault="007735C4" w:rsidP="003724E0">
      <w:pPr>
        <w:jc w:val="both"/>
        <w:rPr>
          <w:b/>
        </w:rPr>
      </w:pPr>
    </w:p>
    <w:p w:rsidR="007735C4" w:rsidRDefault="007735C4" w:rsidP="003724E0">
      <w:pPr>
        <w:jc w:val="both"/>
        <w:rPr>
          <w:b/>
        </w:rPr>
      </w:pPr>
      <w:r>
        <w:rPr>
          <w:b/>
        </w:rPr>
        <w:t xml:space="preserve">Table 1: </w:t>
      </w:r>
      <w:r>
        <w:t>Local Pollen Assemblage Zones for Rovegno (see Branch 2004 for full details).</w:t>
      </w:r>
    </w:p>
    <w:p w:rsidR="007735C4" w:rsidRDefault="007735C4" w:rsidP="003724E0">
      <w:pPr>
        <w:jc w:val="both"/>
        <w:rPr>
          <w:b/>
        </w:rPr>
      </w:pPr>
    </w:p>
    <w:p w:rsidR="007735C4" w:rsidRDefault="007735C4" w:rsidP="003724E0">
      <w:pPr>
        <w:jc w:val="both"/>
        <w:rPr>
          <w:b/>
        </w:rPr>
      </w:pPr>
      <w:r>
        <w:rPr>
          <w:b/>
        </w:rPr>
        <w:t xml:space="preserve">Table 2: </w:t>
      </w:r>
      <w:r>
        <w:t>Radiocarbon dates from Rovegno.</w:t>
      </w:r>
    </w:p>
    <w:p w:rsidR="007735C4" w:rsidRDefault="007735C4" w:rsidP="003724E0"/>
    <w:p w:rsidR="007735C4" w:rsidRPr="00403791" w:rsidRDefault="007735C4" w:rsidP="003724E0">
      <w:pPr>
        <w:contextualSpacing/>
        <w:jc w:val="both"/>
      </w:pPr>
    </w:p>
    <w:p w:rsidR="0065388B" w:rsidRPr="00403791" w:rsidRDefault="0065388B" w:rsidP="003724E0">
      <w:pPr>
        <w:jc w:val="both"/>
      </w:pPr>
    </w:p>
    <w:sectPr w:rsidR="0065388B" w:rsidRPr="004037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E2" w:rsidRDefault="00CD49E2" w:rsidP="00C86353">
      <w:r>
        <w:separator/>
      </w:r>
    </w:p>
  </w:endnote>
  <w:endnote w:type="continuationSeparator" w:id="0">
    <w:p w:rsidR="00CD49E2" w:rsidRDefault="00CD49E2" w:rsidP="00C8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dvTT5235d5a9">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84320"/>
      <w:docPartObj>
        <w:docPartGallery w:val="Page Numbers (Bottom of Page)"/>
        <w:docPartUnique/>
      </w:docPartObj>
    </w:sdtPr>
    <w:sdtEndPr>
      <w:rPr>
        <w:noProof/>
      </w:rPr>
    </w:sdtEndPr>
    <w:sdtContent>
      <w:p w:rsidR="00580F41" w:rsidRDefault="00580F41">
        <w:pPr>
          <w:pStyle w:val="Footer"/>
          <w:jc w:val="right"/>
        </w:pPr>
        <w:r>
          <w:fldChar w:fldCharType="begin"/>
        </w:r>
        <w:r>
          <w:instrText xml:space="preserve"> PAGE   \* MERGEFORMAT </w:instrText>
        </w:r>
        <w:r>
          <w:fldChar w:fldCharType="separate"/>
        </w:r>
        <w:r w:rsidR="003724E0">
          <w:rPr>
            <w:noProof/>
          </w:rPr>
          <w:t>1</w:t>
        </w:r>
        <w:r>
          <w:rPr>
            <w:noProof/>
          </w:rPr>
          <w:fldChar w:fldCharType="end"/>
        </w:r>
      </w:p>
    </w:sdtContent>
  </w:sdt>
  <w:p w:rsidR="00580F41" w:rsidRDefault="00580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E2" w:rsidRDefault="00CD49E2" w:rsidP="00C86353">
      <w:r>
        <w:separator/>
      </w:r>
    </w:p>
  </w:footnote>
  <w:footnote w:type="continuationSeparator" w:id="0">
    <w:p w:rsidR="00CD49E2" w:rsidRDefault="00CD49E2" w:rsidP="00C86353">
      <w:r>
        <w:continuationSeparator/>
      </w:r>
    </w:p>
  </w:footnote>
  <w:footnote w:id="1">
    <w:p w:rsidR="009301AF" w:rsidRPr="006119CB" w:rsidRDefault="009301AF" w:rsidP="006119CB">
      <w:pPr>
        <w:pStyle w:val="FootnoteText"/>
        <w:jc w:val="both"/>
      </w:pPr>
      <w:r w:rsidRPr="006119CB">
        <w:rPr>
          <w:rStyle w:val="FootnoteReference"/>
        </w:rPr>
        <w:footnoteRef/>
      </w:r>
      <w:r w:rsidRPr="006119CB">
        <w:t xml:space="preserve"> Cruise 1990a, 1990b; </w:t>
      </w:r>
      <w:proofErr w:type="spellStart"/>
      <w:r w:rsidRPr="006119CB">
        <w:t>Braggio</w:t>
      </w:r>
      <w:proofErr w:type="spellEnd"/>
      <w:r w:rsidRPr="006119CB">
        <w:t xml:space="preserve"> </w:t>
      </w:r>
      <w:r w:rsidRPr="006119CB">
        <w:rPr>
          <w:i/>
        </w:rPr>
        <w:t>et al.</w:t>
      </w:r>
      <w:r w:rsidRPr="006119CB">
        <w:t xml:space="preserve"> 1991; Lowe </w:t>
      </w:r>
      <w:r w:rsidRPr="006119CB">
        <w:rPr>
          <w:i/>
        </w:rPr>
        <w:t>et al.</w:t>
      </w:r>
      <w:r w:rsidRPr="006119CB">
        <w:t xml:space="preserve"> 1994a, 1994b; Watson 1996; Branch 2002, 2004</w:t>
      </w:r>
      <w:r w:rsidR="003A44BF" w:rsidRPr="006119CB">
        <w:t>.</w:t>
      </w:r>
    </w:p>
  </w:footnote>
  <w:footnote w:id="2">
    <w:p w:rsidR="009301AF" w:rsidRPr="006119CB" w:rsidRDefault="009301AF" w:rsidP="00907AD1">
      <w:pPr>
        <w:pStyle w:val="FootnoteText"/>
        <w:jc w:val="both"/>
      </w:pPr>
      <w:r w:rsidRPr="006119CB">
        <w:rPr>
          <w:rStyle w:val="FootnoteReference"/>
        </w:rPr>
        <w:footnoteRef/>
      </w:r>
      <w:r w:rsidRPr="006119CB">
        <w:t xml:space="preserve"> </w:t>
      </w:r>
      <w:proofErr w:type="spellStart"/>
      <w:r w:rsidRPr="006119CB">
        <w:t>Menozzi</w:t>
      </w:r>
      <w:proofErr w:type="spellEnd"/>
      <w:r w:rsidRPr="006119CB">
        <w:t xml:space="preserve"> </w:t>
      </w:r>
      <w:r w:rsidRPr="006119CB">
        <w:rPr>
          <w:i/>
        </w:rPr>
        <w:t>et al.</w:t>
      </w:r>
      <w:r w:rsidRPr="006119CB">
        <w:t xml:space="preserve"> 2007; Bellini </w:t>
      </w:r>
      <w:r w:rsidRPr="006119CB">
        <w:rPr>
          <w:i/>
        </w:rPr>
        <w:t>et al</w:t>
      </w:r>
      <w:r w:rsidRPr="006119CB">
        <w:t xml:space="preserve">. 2009; Cruise </w:t>
      </w:r>
      <w:r w:rsidRPr="006119CB">
        <w:rPr>
          <w:i/>
        </w:rPr>
        <w:t>et al</w:t>
      </w:r>
      <w:r w:rsidRPr="006119CB">
        <w:t xml:space="preserve">. 2009; </w:t>
      </w:r>
      <w:proofErr w:type="spellStart"/>
      <w:r w:rsidRPr="006119CB">
        <w:t>Vescovi</w:t>
      </w:r>
      <w:proofErr w:type="spellEnd"/>
      <w:r w:rsidRPr="006119CB">
        <w:t xml:space="preserve"> </w:t>
      </w:r>
      <w:r w:rsidRPr="006119CB">
        <w:rPr>
          <w:i/>
        </w:rPr>
        <w:t>et al.</w:t>
      </w:r>
      <w:r w:rsidRPr="006119CB">
        <w:t xml:space="preserve"> 2010; Branch 2013; Guido </w:t>
      </w:r>
      <w:r w:rsidRPr="006119CB">
        <w:rPr>
          <w:i/>
        </w:rPr>
        <w:t>et al.</w:t>
      </w:r>
      <w:r w:rsidRPr="006119CB">
        <w:t xml:space="preserve"> 2013; Branch and Marini 2014; Branch </w:t>
      </w:r>
      <w:r w:rsidRPr="006119CB">
        <w:rPr>
          <w:i/>
        </w:rPr>
        <w:t>et al.</w:t>
      </w:r>
      <w:r w:rsidRPr="006119CB">
        <w:t xml:space="preserve"> 2014</w:t>
      </w:r>
      <w:r w:rsidR="003A44BF" w:rsidRPr="006119CB">
        <w:t>.</w:t>
      </w:r>
    </w:p>
  </w:footnote>
  <w:footnote w:id="3">
    <w:p w:rsidR="006E6BBE" w:rsidRPr="006119CB" w:rsidRDefault="006E6BBE" w:rsidP="00907AD1">
      <w:pPr>
        <w:pStyle w:val="FootnoteText"/>
        <w:jc w:val="both"/>
      </w:pPr>
      <w:r w:rsidRPr="006119CB">
        <w:rPr>
          <w:rStyle w:val="FootnoteReference"/>
        </w:rPr>
        <w:footnoteRef/>
      </w:r>
      <w:r w:rsidRPr="006119CB">
        <w:t xml:space="preserve"> </w:t>
      </w:r>
      <w:proofErr w:type="gramStart"/>
      <w:r w:rsidRPr="006119CB">
        <w:t>Branch 2004.</w:t>
      </w:r>
      <w:proofErr w:type="gramEnd"/>
    </w:p>
  </w:footnote>
  <w:footnote w:id="4">
    <w:p w:rsidR="009301AF" w:rsidRPr="006119CB" w:rsidRDefault="009301AF" w:rsidP="00907AD1">
      <w:pPr>
        <w:pStyle w:val="FootnoteText"/>
        <w:jc w:val="both"/>
      </w:pPr>
      <w:r w:rsidRPr="006119CB">
        <w:rPr>
          <w:rStyle w:val="FootnoteReference"/>
        </w:rPr>
        <w:footnoteRef/>
      </w:r>
      <w:r w:rsidRPr="006119CB">
        <w:t xml:space="preserve"> </w:t>
      </w:r>
      <w:r w:rsidR="00907AD1" w:rsidRPr="006119CB">
        <w:t>S</w:t>
      </w:r>
      <w:r w:rsidR="006E6BBE" w:rsidRPr="006119CB">
        <w:t xml:space="preserve">ee Lowe </w:t>
      </w:r>
      <w:r w:rsidR="006E6BBE" w:rsidRPr="006119CB">
        <w:rPr>
          <w:i/>
        </w:rPr>
        <w:t>et al.</w:t>
      </w:r>
      <w:r w:rsidR="006E6BBE" w:rsidRPr="006119CB">
        <w:t xml:space="preserve"> 1994b.</w:t>
      </w:r>
    </w:p>
  </w:footnote>
  <w:footnote w:id="5">
    <w:p w:rsidR="00271B89" w:rsidRPr="006119CB" w:rsidRDefault="00271B89">
      <w:pPr>
        <w:pStyle w:val="FootnoteText"/>
      </w:pPr>
      <w:r w:rsidRPr="006119CB">
        <w:rPr>
          <w:rStyle w:val="FootnoteReference"/>
        </w:rPr>
        <w:footnoteRef/>
      </w:r>
      <w:r w:rsidRPr="006119CB">
        <w:t xml:space="preserve"> </w:t>
      </w:r>
      <w:proofErr w:type="gramStart"/>
      <w:r w:rsidRPr="006119CB">
        <w:t xml:space="preserve">See Carta </w:t>
      </w:r>
      <w:proofErr w:type="spellStart"/>
      <w:r w:rsidRPr="006119CB">
        <w:t>Strutturale</w:t>
      </w:r>
      <w:proofErr w:type="spellEnd"/>
      <w:r w:rsidRPr="006119CB">
        <w:t xml:space="preserve"> </w:t>
      </w:r>
      <w:proofErr w:type="spellStart"/>
      <w:r w:rsidRPr="006119CB">
        <w:t>dell’Appennino</w:t>
      </w:r>
      <w:proofErr w:type="spellEnd"/>
      <w:r w:rsidRPr="006119CB">
        <w:t xml:space="preserve"> </w:t>
      </w:r>
      <w:proofErr w:type="spellStart"/>
      <w:r w:rsidRPr="006119CB">
        <w:t>Settentrionale</w:t>
      </w:r>
      <w:proofErr w:type="spellEnd"/>
      <w:r w:rsidRPr="006119CB">
        <w:t xml:space="preserve">, </w:t>
      </w:r>
      <w:proofErr w:type="spellStart"/>
      <w:r w:rsidRPr="006119CB">
        <w:t>Foglio</w:t>
      </w:r>
      <w:proofErr w:type="spellEnd"/>
      <w:r w:rsidRPr="006119CB">
        <w:t xml:space="preserve"> 4; </w:t>
      </w:r>
      <w:proofErr w:type="spellStart"/>
      <w:r w:rsidRPr="006119CB">
        <w:t>Abbate</w:t>
      </w:r>
      <w:proofErr w:type="spellEnd"/>
      <w:r w:rsidRPr="006119CB">
        <w:t xml:space="preserve"> </w:t>
      </w:r>
      <w:r w:rsidRPr="006119CB">
        <w:rPr>
          <w:i/>
        </w:rPr>
        <w:t>et al</w:t>
      </w:r>
      <w:r w:rsidR="002324FB">
        <w:t xml:space="preserve">. </w:t>
      </w:r>
      <w:r w:rsidRPr="006119CB">
        <w:t>1982.</w:t>
      </w:r>
      <w:proofErr w:type="gramEnd"/>
    </w:p>
  </w:footnote>
  <w:footnote w:id="6">
    <w:p w:rsidR="002B3EA9" w:rsidRPr="006119CB" w:rsidRDefault="002B3EA9">
      <w:pPr>
        <w:pStyle w:val="FootnoteText"/>
      </w:pPr>
      <w:r w:rsidRPr="006119CB">
        <w:rPr>
          <w:rStyle w:val="FootnoteReference"/>
        </w:rPr>
        <w:footnoteRef/>
      </w:r>
      <w:r w:rsidRPr="006119CB">
        <w:t xml:space="preserve"> Watson 1996, p. 806.</w:t>
      </w:r>
    </w:p>
  </w:footnote>
  <w:footnote w:id="7">
    <w:p w:rsidR="002B3EA9" w:rsidRDefault="002B3EA9">
      <w:pPr>
        <w:pStyle w:val="FootnoteText"/>
      </w:pPr>
      <w:r w:rsidRPr="006119CB">
        <w:rPr>
          <w:rStyle w:val="FootnoteReference"/>
        </w:rPr>
        <w:footnoteRef/>
      </w:r>
      <w:r w:rsidRPr="006119CB">
        <w:t xml:space="preserve"> </w:t>
      </w:r>
      <w:proofErr w:type="spellStart"/>
      <w:proofErr w:type="gramStart"/>
      <w:r w:rsidRPr="006119CB">
        <w:t>Losacco</w:t>
      </w:r>
      <w:proofErr w:type="spellEnd"/>
      <w:r w:rsidRPr="006119CB">
        <w:t xml:space="preserve"> 1982</w:t>
      </w:r>
      <w:r w:rsidR="006119CB" w:rsidRPr="006119CB">
        <w:t>.</w:t>
      </w:r>
      <w:proofErr w:type="gramEnd"/>
    </w:p>
  </w:footnote>
  <w:footnote w:id="8">
    <w:p w:rsidR="00D40236" w:rsidRPr="006119CB" w:rsidRDefault="00D40236" w:rsidP="006119CB">
      <w:pPr>
        <w:pStyle w:val="FootnoteText"/>
        <w:jc w:val="both"/>
      </w:pPr>
      <w:r w:rsidRPr="006119CB">
        <w:rPr>
          <w:rStyle w:val="FootnoteReference"/>
        </w:rPr>
        <w:footnoteRef/>
      </w:r>
      <w:r w:rsidRPr="006119CB">
        <w:t xml:space="preserve"> </w:t>
      </w:r>
      <w:proofErr w:type="gramStart"/>
      <w:r w:rsidRPr="006119CB">
        <w:t>Maggi 1990, 1999, 2004.</w:t>
      </w:r>
      <w:proofErr w:type="gramEnd"/>
    </w:p>
  </w:footnote>
  <w:footnote w:id="9">
    <w:p w:rsidR="00D40236" w:rsidRDefault="00D40236" w:rsidP="006119CB">
      <w:pPr>
        <w:pStyle w:val="FootnoteText"/>
        <w:jc w:val="both"/>
      </w:pPr>
      <w:r w:rsidRPr="006119CB">
        <w:rPr>
          <w:rStyle w:val="FootnoteReference"/>
        </w:rPr>
        <w:footnoteRef/>
      </w:r>
      <w:r w:rsidRPr="006119CB">
        <w:t xml:space="preserve"> Lowe 1992, p. 195.</w:t>
      </w:r>
    </w:p>
  </w:footnote>
  <w:footnote w:id="10">
    <w:p w:rsidR="004E4CE9" w:rsidRPr="008518B1" w:rsidRDefault="004E4CE9" w:rsidP="008518B1">
      <w:pPr>
        <w:pStyle w:val="FootnoteText"/>
        <w:jc w:val="both"/>
      </w:pPr>
      <w:r w:rsidRPr="008518B1">
        <w:rPr>
          <w:rStyle w:val="FootnoteReference"/>
        </w:rPr>
        <w:footnoteRef/>
      </w:r>
      <w:r w:rsidRPr="008518B1">
        <w:t xml:space="preserve"> </w:t>
      </w:r>
      <w:proofErr w:type="gramStart"/>
      <w:r w:rsidRPr="008518B1">
        <w:t>Troels-Smith</w:t>
      </w:r>
      <w:r w:rsidR="006119CB" w:rsidRPr="008518B1">
        <w:t xml:space="preserve"> 195</w:t>
      </w:r>
      <w:r w:rsidRPr="008518B1">
        <w:t>5.</w:t>
      </w:r>
      <w:proofErr w:type="gramEnd"/>
    </w:p>
  </w:footnote>
  <w:footnote w:id="11">
    <w:p w:rsidR="004936DC" w:rsidRPr="008518B1" w:rsidRDefault="004936DC" w:rsidP="008518B1">
      <w:pPr>
        <w:pStyle w:val="FootnoteText"/>
        <w:jc w:val="both"/>
      </w:pPr>
      <w:r w:rsidRPr="008518B1">
        <w:rPr>
          <w:rStyle w:val="FootnoteReference"/>
        </w:rPr>
        <w:footnoteRef/>
      </w:r>
      <w:r w:rsidRPr="008518B1">
        <w:t xml:space="preserve"> </w:t>
      </w:r>
      <w:proofErr w:type="gramStart"/>
      <w:r w:rsidRPr="008518B1">
        <w:t xml:space="preserve">Branch </w:t>
      </w:r>
      <w:r w:rsidRPr="008518B1">
        <w:rPr>
          <w:i/>
        </w:rPr>
        <w:t>et al.</w:t>
      </w:r>
      <w:r w:rsidRPr="008518B1">
        <w:t xml:space="preserve"> 2005.</w:t>
      </w:r>
      <w:proofErr w:type="gramEnd"/>
    </w:p>
  </w:footnote>
  <w:footnote w:id="12">
    <w:p w:rsidR="00CB50A6" w:rsidRPr="008518B1" w:rsidRDefault="00CB50A6" w:rsidP="008518B1">
      <w:pPr>
        <w:pStyle w:val="FootnoteText"/>
        <w:jc w:val="both"/>
      </w:pPr>
      <w:r w:rsidRPr="008518B1">
        <w:rPr>
          <w:rStyle w:val="FootnoteReference"/>
        </w:rPr>
        <w:footnoteRef/>
      </w:r>
      <w:r w:rsidRPr="008518B1">
        <w:t xml:space="preserve"> </w:t>
      </w:r>
      <w:proofErr w:type="gramStart"/>
      <w:r w:rsidRPr="008518B1">
        <w:t xml:space="preserve">Moore </w:t>
      </w:r>
      <w:r w:rsidRPr="008518B1">
        <w:rPr>
          <w:i/>
        </w:rPr>
        <w:t xml:space="preserve">et al. </w:t>
      </w:r>
      <w:r w:rsidRPr="008518B1">
        <w:t xml:space="preserve">1991; </w:t>
      </w:r>
      <w:proofErr w:type="spellStart"/>
      <w:r w:rsidRPr="008518B1">
        <w:t>Reille</w:t>
      </w:r>
      <w:proofErr w:type="spellEnd"/>
      <w:r w:rsidRPr="008518B1">
        <w:t xml:space="preserve"> 1992.</w:t>
      </w:r>
      <w:proofErr w:type="gramEnd"/>
    </w:p>
  </w:footnote>
  <w:footnote w:id="13">
    <w:p w:rsidR="00CB50A6" w:rsidRPr="008518B1" w:rsidRDefault="00CB50A6" w:rsidP="008518B1">
      <w:pPr>
        <w:pStyle w:val="FootnoteText"/>
        <w:jc w:val="both"/>
      </w:pPr>
      <w:r w:rsidRPr="008518B1">
        <w:rPr>
          <w:rStyle w:val="FootnoteReference"/>
        </w:rPr>
        <w:footnoteRef/>
      </w:r>
      <w:r w:rsidRPr="008518B1">
        <w:t xml:space="preserve"> Grimm 1991-2011</w:t>
      </w:r>
      <w:proofErr w:type="gramStart"/>
      <w:r w:rsidRPr="008518B1">
        <w:t>;</w:t>
      </w:r>
      <w:proofErr w:type="gramEnd"/>
      <w:r w:rsidRPr="008518B1">
        <w:t xml:space="preserve"> see also Birks and Gordon 1985.</w:t>
      </w:r>
    </w:p>
  </w:footnote>
  <w:footnote w:id="14">
    <w:p w:rsidR="00CB50A6" w:rsidRPr="008518B1" w:rsidRDefault="00CB50A6" w:rsidP="008518B1">
      <w:pPr>
        <w:pStyle w:val="FootnoteText"/>
        <w:jc w:val="both"/>
      </w:pPr>
      <w:r w:rsidRPr="008518B1">
        <w:rPr>
          <w:rStyle w:val="FootnoteReference"/>
        </w:rPr>
        <w:footnoteRef/>
      </w:r>
      <w:r w:rsidRPr="008518B1">
        <w:t xml:space="preserve"> </w:t>
      </w:r>
      <w:proofErr w:type="spellStart"/>
      <w:proofErr w:type="gramStart"/>
      <w:r w:rsidRPr="008518B1">
        <w:t>Stuiver</w:t>
      </w:r>
      <w:proofErr w:type="spellEnd"/>
      <w:r w:rsidRPr="008518B1">
        <w:t xml:space="preserve"> and Reimer 1986.</w:t>
      </w:r>
      <w:proofErr w:type="gramEnd"/>
    </w:p>
  </w:footnote>
  <w:footnote w:id="15">
    <w:p w:rsidR="00CB50A6" w:rsidRPr="008518B1" w:rsidRDefault="00CB50A6" w:rsidP="008518B1">
      <w:pPr>
        <w:pStyle w:val="FootnoteText"/>
        <w:jc w:val="both"/>
      </w:pPr>
      <w:r w:rsidRPr="008518B1">
        <w:rPr>
          <w:rStyle w:val="FootnoteReference"/>
        </w:rPr>
        <w:footnoteRef/>
      </w:r>
      <w:r w:rsidRPr="008518B1">
        <w:t xml:space="preserve"> </w:t>
      </w:r>
      <w:proofErr w:type="gramStart"/>
      <w:r w:rsidRPr="008518B1">
        <w:t>Bronk Ramsey 1995, 2001, 2007.</w:t>
      </w:r>
      <w:proofErr w:type="gramEnd"/>
    </w:p>
  </w:footnote>
  <w:footnote w:id="16">
    <w:p w:rsidR="00CB50A6" w:rsidRDefault="00CB50A6" w:rsidP="008518B1">
      <w:pPr>
        <w:pStyle w:val="FootnoteText"/>
        <w:jc w:val="both"/>
      </w:pPr>
      <w:r w:rsidRPr="008518B1">
        <w:rPr>
          <w:rStyle w:val="FootnoteReference"/>
        </w:rPr>
        <w:footnoteRef/>
      </w:r>
      <w:r w:rsidRPr="008518B1">
        <w:t xml:space="preserve"> </w:t>
      </w:r>
      <w:proofErr w:type="gramStart"/>
      <w:r w:rsidRPr="008518B1">
        <w:t xml:space="preserve">Reimer </w:t>
      </w:r>
      <w:r w:rsidRPr="008518B1">
        <w:rPr>
          <w:i/>
        </w:rPr>
        <w:t>et al.</w:t>
      </w:r>
      <w:r w:rsidRPr="008518B1">
        <w:t xml:space="preserve"> 2004.</w:t>
      </w:r>
      <w:proofErr w:type="gramEnd"/>
    </w:p>
  </w:footnote>
  <w:footnote w:id="17">
    <w:p w:rsidR="00C01315" w:rsidRPr="008518B1" w:rsidRDefault="00C01315" w:rsidP="008518B1">
      <w:pPr>
        <w:pStyle w:val="FootnoteText"/>
        <w:jc w:val="both"/>
      </w:pPr>
      <w:r w:rsidRPr="008518B1">
        <w:rPr>
          <w:rStyle w:val="FootnoteReference"/>
        </w:rPr>
        <w:footnoteRef/>
      </w:r>
      <w:r w:rsidRPr="008518B1">
        <w:t xml:space="preserve"> </w:t>
      </w:r>
      <w:proofErr w:type="gramStart"/>
      <w:r w:rsidRPr="008518B1">
        <w:rPr>
          <w:lang w:val="en-US"/>
        </w:rPr>
        <w:t xml:space="preserve">Lowe 1992; Lowe </w:t>
      </w:r>
      <w:r w:rsidRPr="008518B1">
        <w:rPr>
          <w:i/>
          <w:lang w:val="en-US"/>
        </w:rPr>
        <w:t>et al</w:t>
      </w:r>
      <w:r w:rsidRPr="008518B1">
        <w:rPr>
          <w:lang w:val="en-US"/>
        </w:rPr>
        <w:t>. 1994b.</w:t>
      </w:r>
      <w:proofErr w:type="gramEnd"/>
    </w:p>
  </w:footnote>
  <w:footnote w:id="18">
    <w:p w:rsidR="00C01315" w:rsidRPr="008518B1" w:rsidRDefault="00C01315" w:rsidP="008518B1">
      <w:pPr>
        <w:pStyle w:val="FootnoteText"/>
        <w:jc w:val="both"/>
      </w:pPr>
      <w:r w:rsidRPr="008518B1">
        <w:rPr>
          <w:rStyle w:val="FootnoteReference"/>
        </w:rPr>
        <w:footnoteRef/>
      </w:r>
      <w:r w:rsidRPr="008518B1">
        <w:t xml:space="preserve"> </w:t>
      </w:r>
      <w:r w:rsidRPr="008518B1">
        <w:rPr>
          <w:lang w:val="en-US"/>
        </w:rPr>
        <w:t>Bedford 2013.</w:t>
      </w:r>
    </w:p>
  </w:footnote>
  <w:footnote w:id="19">
    <w:p w:rsidR="00C01315" w:rsidRPr="008518B1" w:rsidRDefault="00C01315" w:rsidP="008518B1">
      <w:pPr>
        <w:pStyle w:val="FootnoteText"/>
        <w:jc w:val="both"/>
      </w:pPr>
      <w:r w:rsidRPr="008518B1">
        <w:rPr>
          <w:rStyle w:val="FootnoteReference"/>
        </w:rPr>
        <w:footnoteRef/>
      </w:r>
      <w:r w:rsidRPr="008518B1">
        <w:t xml:space="preserve"> </w:t>
      </w:r>
      <w:proofErr w:type="gramStart"/>
      <w:r w:rsidRPr="008518B1">
        <w:rPr>
          <w:lang w:val="en-US"/>
        </w:rPr>
        <w:t xml:space="preserve">Branch </w:t>
      </w:r>
      <w:r w:rsidRPr="008518B1">
        <w:rPr>
          <w:i/>
          <w:lang w:val="en-US"/>
        </w:rPr>
        <w:t>et al.</w:t>
      </w:r>
      <w:r w:rsidRPr="008518B1">
        <w:rPr>
          <w:lang w:val="en-US"/>
        </w:rPr>
        <w:t xml:space="preserve"> 2005.</w:t>
      </w:r>
      <w:proofErr w:type="gramEnd"/>
    </w:p>
  </w:footnote>
  <w:footnote w:id="20">
    <w:p w:rsidR="00C01315" w:rsidRPr="008518B1" w:rsidRDefault="00C01315" w:rsidP="008518B1">
      <w:pPr>
        <w:pStyle w:val="FootnoteText"/>
        <w:jc w:val="both"/>
      </w:pPr>
      <w:r w:rsidRPr="008518B1">
        <w:rPr>
          <w:rStyle w:val="FootnoteReference"/>
        </w:rPr>
        <w:footnoteRef/>
      </w:r>
      <w:r w:rsidRPr="008518B1">
        <w:t xml:space="preserve"> </w:t>
      </w:r>
      <w:proofErr w:type="spellStart"/>
      <w:proofErr w:type="gramStart"/>
      <w:r w:rsidRPr="008518B1">
        <w:rPr>
          <w:lang w:val="en-US"/>
        </w:rPr>
        <w:t>Mazier</w:t>
      </w:r>
      <w:proofErr w:type="spellEnd"/>
      <w:r w:rsidRPr="008518B1">
        <w:rPr>
          <w:lang w:val="en-US"/>
        </w:rPr>
        <w:t xml:space="preserve"> </w:t>
      </w:r>
      <w:r w:rsidRPr="008518B1">
        <w:rPr>
          <w:i/>
          <w:lang w:val="en-US"/>
        </w:rPr>
        <w:t>et al</w:t>
      </w:r>
      <w:r w:rsidRPr="008518B1">
        <w:rPr>
          <w:lang w:val="en-US"/>
        </w:rPr>
        <w:t xml:space="preserve">. 2009; </w:t>
      </w:r>
      <w:proofErr w:type="spellStart"/>
      <w:r w:rsidRPr="008518B1">
        <w:rPr>
          <w:lang w:val="en-US"/>
        </w:rPr>
        <w:t>Cugny</w:t>
      </w:r>
      <w:proofErr w:type="spellEnd"/>
      <w:r w:rsidRPr="008518B1">
        <w:rPr>
          <w:lang w:val="en-US"/>
        </w:rPr>
        <w:t xml:space="preserve"> </w:t>
      </w:r>
      <w:r w:rsidRPr="008518B1">
        <w:rPr>
          <w:i/>
          <w:lang w:val="en-US"/>
        </w:rPr>
        <w:t>et al</w:t>
      </w:r>
      <w:r w:rsidRPr="008518B1">
        <w:rPr>
          <w:lang w:val="en-US"/>
        </w:rPr>
        <w:t>. 2010.</w:t>
      </w:r>
      <w:proofErr w:type="gramEnd"/>
    </w:p>
  </w:footnote>
  <w:footnote w:id="21">
    <w:p w:rsidR="00C01315" w:rsidRPr="008518B1" w:rsidRDefault="00C01315" w:rsidP="008518B1">
      <w:pPr>
        <w:pStyle w:val="FootnoteText"/>
        <w:jc w:val="both"/>
      </w:pPr>
      <w:r w:rsidRPr="008518B1">
        <w:rPr>
          <w:rStyle w:val="FootnoteReference"/>
        </w:rPr>
        <w:footnoteRef/>
      </w:r>
      <w:r w:rsidRPr="008518B1">
        <w:t xml:space="preserve"> </w:t>
      </w:r>
      <w:proofErr w:type="gramStart"/>
      <w:r w:rsidRPr="008518B1">
        <w:rPr>
          <w:lang w:val="en-US"/>
        </w:rPr>
        <w:t>van</w:t>
      </w:r>
      <w:proofErr w:type="gramEnd"/>
      <w:r w:rsidRPr="008518B1">
        <w:rPr>
          <w:lang w:val="en-US"/>
        </w:rPr>
        <w:t xml:space="preserve"> </w:t>
      </w:r>
      <w:proofErr w:type="spellStart"/>
      <w:r w:rsidRPr="008518B1">
        <w:rPr>
          <w:lang w:val="en-US"/>
        </w:rPr>
        <w:t>Geel</w:t>
      </w:r>
      <w:proofErr w:type="spellEnd"/>
      <w:r w:rsidRPr="008518B1">
        <w:rPr>
          <w:lang w:val="en-US"/>
        </w:rPr>
        <w:t xml:space="preserve"> </w:t>
      </w:r>
      <w:r w:rsidRPr="008518B1">
        <w:rPr>
          <w:i/>
          <w:lang w:val="en-US"/>
        </w:rPr>
        <w:t>et al</w:t>
      </w:r>
      <w:r w:rsidR="008518B1" w:rsidRPr="008518B1">
        <w:rPr>
          <w:lang w:val="en-US"/>
        </w:rPr>
        <w:t>. 2003;</w:t>
      </w:r>
      <w:r w:rsidRPr="008518B1">
        <w:rPr>
          <w:lang w:val="en-US"/>
        </w:rPr>
        <w:t xml:space="preserve"> </w:t>
      </w:r>
      <w:proofErr w:type="spellStart"/>
      <w:r w:rsidRPr="008518B1">
        <w:t>García</w:t>
      </w:r>
      <w:proofErr w:type="spellEnd"/>
      <w:r w:rsidRPr="008518B1">
        <w:t xml:space="preserve"> </w:t>
      </w:r>
      <w:r w:rsidRPr="008518B1">
        <w:rPr>
          <w:i/>
        </w:rPr>
        <w:t>et al.</w:t>
      </w:r>
      <w:r w:rsidR="008518B1" w:rsidRPr="008518B1">
        <w:t xml:space="preserve"> 2004; </w:t>
      </w:r>
      <w:proofErr w:type="spellStart"/>
      <w:r w:rsidR="008518B1" w:rsidRPr="008518B1">
        <w:t>Doveri</w:t>
      </w:r>
      <w:proofErr w:type="spellEnd"/>
      <w:r w:rsidR="008518B1" w:rsidRPr="008518B1">
        <w:t xml:space="preserve"> 2007;</w:t>
      </w:r>
      <w:r w:rsidRPr="008518B1">
        <w:t xml:space="preserve"> </w:t>
      </w:r>
      <w:proofErr w:type="spellStart"/>
      <w:r w:rsidRPr="008518B1">
        <w:t>Vujanovic</w:t>
      </w:r>
      <w:proofErr w:type="spellEnd"/>
      <w:r w:rsidR="008518B1" w:rsidRPr="008518B1">
        <w:rPr>
          <w:lang w:val="en-US"/>
        </w:rPr>
        <w:t xml:space="preserve"> and Goh 2009;</w:t>
      </w:r>
      <w:r w:rsidRPr="008518B1">
        <w:rPr>
          <w:lang w:val="en-US"/>
        </w:rPr>
        <w:t xml:space="preserve"> </w:t>
      </w:r>
      <w:proofErr w:type="spellStart"/>
      <w:r w:rsidRPr="008518B1">
        <w:rPr>
          <w:lang w:val="en-US"/>
        </w:rPr>
        <w:t>Cugny</w:t>
      </w:r>
      <w:proofErr w:type="spellEnd"/>
      <w:r w:rsidRPr="008518B1">
        <w:rPr>
          <w:lang w:val="en-US"/>
        </w:rPr>
        <w:t xml:space="preserve"> </w:t>
      </w:r>
      <w:r w:rsidRPr="008518B1">
        <w:rPr>
          <w:i/>
          <w:lang w:val="en-US"/>
        </w:rPr>
        <w:t>et al</w:t>
      </w:r>
      <w:r w:rsidRPr="008518B1">
        <w:rPr>
          <w:lang w:val="en-US"/>
        </w:rPr>
        <w:t>. 2010.</w:t>
      </w:r>
    </w:p>
  </w:footnote>
  <w:footnote w:id="22">
    <w:p w:rsidR="00C01315" w:rsidRDefault="00C01315" w:rsidP="008518B1">
      <w:pPr>
        <w:pStyle w:val="FootnoteText"/>
        <w:jc w:val="both"/>
      </w:pPr>
      <w:r w:rsidRPr="008518B1">
        <w:rPr>
          <w:rStyle w:val="FootnoteReference"/>
        </w:rPr>
        <w:footnoteRef/>
      </w:r>
      <w:r w:rsidRPr="008518B1">
        <w:t xml:space="preserve"> </w:t>
      </w:r>
      <w:proofErr w:type="gramStart"/>
      <w:r w:rsidRPr="008518B1">
        <w:t>Branch 2004.</w:t>
      </w:r>
      <w:proofErr w:type="gramEnd"/>
    </w:p>
  </w:footnote>
  <w:footnote w:id="23">
    <w:p w:rsidR="004E7206" w:rsidRDefault="004E7206" w:rsidP="008518B1">
      <w:pPr>
        <w:pStyle w:val="FootnoteText"/>
        <w:jc w:val="both"/>
      </w:pPr>
      <w:r w:rsidRPr="008518B1">
        <w:rPr>
          <w:rStyle w:val="FootnoteReference"/>
        </w:rPr>
        <w:footnoteRef/>
      </w:r>
      <w:r w:rsidRPr="008518B1">
        <w:t xml:space="preserve"> </w:t>
      </w:r>
      <w:proofErr w:type="gramStart"/>
      <w:r w:rsidRPr="008518B1">
        <w:t>Branch 2004.</w:t>
      </w:r>
      <w:proofErr w:type="gramEnd"/>
    </w:p>
  </w:footnote>
  <w:footnote w:id="24">
    <w:p w:rsidR="004E7206" w:rsidRPr="008518B1" w:rsidRDefault="004E7206" w:rsidP="008518B1">
      <w:pPr>
        <w:pStyle w:val="FootnoteText"/>
        <w:jc w:val="both"/>
      </w:pPr>
      <w:r w:rsidRPr="008518B1">
        <w:rPr>
          <w:rStyle w:val="FootnoteReference"/>
        </w:rPr>
        <w:footnoteRef/>
      </w:r>
      <w:r w:rsidRPr="008518B1">
        <w:t xml:space="preserve"> See Branch and Marini 2014; Branch </w:t>
      </w:r>
      <w:r w:rsidRPr="008518B1">
        <w:rPr>
          <w:i/>
        </w:rPr>
        <w:t>et al.</w:t>
      </w:r>
      <w:r w:rsidRPr="008518B1">
        <w:t xml:space="preserve"> 2014.</w:t>
      </w:r>
    </w:p>
  </w:footnote>
  <w:footnote w:id="25">
    <w:p w:rsidR="004E7206" w:rsidRPr="008518B1" w:rsidRDefault="004E7206" w:rsidP="008518B1">
      <w:pPr>
        <w:pStyle w:val="FootnoteText"/>
        <w:jc w:val="both"/>
      </w:pPr>
      <w:r w:rsidRPr="008518B1">
        <w:rPr>
          <w:rStyle w:val="FootnoteReference"/>
        </w:rPr>
        <w:footnoteRef/>
      </w:r>
      <w:r w:rsidRPr="008518B1">
        <w:t xml:space="preserve"> </w:t>
      </w:r>
      <w:proofErr w:type="gramStart"/>
      <w:r w:rsidRPr="008518B1">
        <w:t xml:space="preserve">E.g. Watts </w:t>
      </w:r>
      <w:r w:rsidRPr="008518B1">
        <w:rPr>
          <w:i/>
        </w:rPr>
        <w:t>et al.</w:t>
      </w:r>
      <w:r w:rsidRPr="008518B1">
        <w:t xml:space="preserve"> 1996a; </w:t>
      </w:r>
      <w:proofErr w:type="spellStart"/>
      <w:r w:rsidRPr="008518B1">
        <w:t>Finsinger</w:t>
      </w:r>
      <w:proofErr w:type="spellEnd"/>
      <w:r w:rsidRPr="008518B1">
        <w:t xml:space="preserve"> </w:t>
      </w:r>
      <w:r w:rsidRPr="008518B1">
        <w:rPr>
          <w:i/>
        </w:rPr>
        <w:t>et al</w:t>
      </w:r>
      <w:r w:rsidRPr="008518B1">
        <w:t>. 2006.</w:t>
      </w:r>
      <w:proofErr w:type="gramEnd"/>
    </w:p>
  </w:footnote>
  <w:footnote w:id="26">
    <w:p w:rsidR="00704B1C" w:rsidRPr="008518B1" w:rsidRDefault="00704B1C" w:rsidP="008518B1">
      <w:pPr>
        <w:pStyle w:val="FootnoteText"/>
        <w:jc w:val="both"/>
      </w:pPr>
      <w:r w:rsidRPr="008518B1">
        <w:rPr>
          <w:rStyle w:val="FootnoteReference"/>
        </w:rPr>
        <w:footnoteRef/>
      </w:r>
      <w:r w:rsidRPr="008518B1">
        <w:t xml:space="preserve"> Roberts </w:t>
      </w:r>
      <w:r w:rsidRPr="008518B1">
        <w:rPr>
          <w:i/>
        </w:rPr>
        <w:t>et al.</w:t>
      </w:r>
      <w:r w:rsidRPr="008518B1">
        <w:t xml:space="preserve"> 2008.</w:t>
      </w:r>
    </w:p>
  </w:footnote>
  <w:footnote w:id="27">
    <w:p w:rsidR="00704B1C" w:rsidRPr="008518B1" w:rsidRDefault="00704B1C" w:rsidP="008518B1">
      <w:pPr>
        <w:pStyle w:val="FootnoteText"/>
        <w:jc w:val="both"/>
      </w:pPr>
      <w:r w:rsidRPr="008518B1">
        <w:rPr>
          <w:rStyle w:val="FootnoteReference"/>
        </w:rPr>
        <w:footnoteRef/>
      </w:r>
      <w:r w:rsidRPr="008518B1">
        <w:t xml:space="preserve"> Roberts </w:t>
      </w:r>
      <w:r w:rsidRPr="008518B1">
        <w:rPr>
          <w:i/>
        </w:rPr>
        <w:t>et al.</w:t>
      </w:r>
      <w:r w:rsidRPr="008518B1">
        <w:t xml:space="preserve"> 2008.</w:t>
      </w:r>
    </w:p>
  </w:footnote>
  <w:footnote w:id="28">
    <w:p w:rsidR="00704B1C" w:rsidRPr="008518B1" w:rsidRDefault="00704B1C" w:rsidP="008518B1">
      <w:pPr>
        <w:pStyle w:val="FootnoteText"/>
        <w:jc w:val="both"/>
      </w:pPr>
      <w:r w:rsidRPr="008518B1">
        <w:rPr>
          <w:rStyle w:val="FootnoteReference"/>
        </w:rPr>
        <w:footnoteRef/>
      </w:r>
      <w:r w:rsidRPr="008518B1">
        <w:t xml:space="preserve"> Lowe 1992; Lowe and Watson 1993; Lowe </w:t>
      </w:r>
      <w:r w:rsidRPr="008518B1">
        <w:rPr>
          <w:i/>
        </w:rPr>
        <w:t>et al.</w:t>
      </w:r>
      <w:r w:rsidRPr="008518B1">
        <w:t xml:space="preserve"> 1994b; Watson 1996; Branch 2004; Cruise </w:t>
      </w:r>
      <w:r w:rsidRPr="008518B1">
        <w:rPr>
          <w:i/>
        </w:rPr>
        <w:t>et al.</w:t>
      </w:r>
      <w:r w:rsidRPr="008518B1">
        <w:t xml:space="preserve"> 2009; </w:t>
      </w:r>
      <w:proofErr w:type="spellStart"/>
      <w:r w:rsidRPr="008518B1">
        <w:t>Vescovi</w:t>
      </w:r>
      <w:proofErr w:type="spellEnd"/>
      <w:r w:rsidRPr="008518B1">
        <w:t xml:space="preserve"> </w:t>
      </w:r>
      <w:r w:rsidRPr="008518B1">
        <w:rPr>
          <w:i/>
        </w:rPr>
        <w:t>et al.</w:t>
      </w:r>
      <w:r w:rsidRPr="008518B1">
        <w:t xml:space="preserve"> 2010.</w:t>
      </w:r>
    </w:p>
  </w:footnote>
  <w:footnote w:id="29">
    <w:p w:rsidR="00704B1C" w:rsidRDefault="00704B1C" w:rsidP="008518B1">
      <w:pPr>
        <w:pStyle w:val="FootnoteText"/>
        <w:jc w:val="both"/>
      </w:pPr>
      <w:r w:rsidRPr="008518B1">
        <w:rPr>
          <w:rStyle w:val="FootnoteReference"/>
        </w:rPr>
        <w:footnoteRef/>
      </w:r>
      <w:r w:rsidRPr="008518B1">
        <w:t xml:space="preserve"> Lowe 1992.</w:t>
      </w:r>
    </w:p>
  </w:footnote>
  <w:footnote w:id="30">
    <w:p w:rsidR="00704B1C" w:rsidRPr="008518B1" w:rsidRDefault="00704B1C" w:rsidP="008518B1">
      <w:pPr>
        <w:pStyle w:val="FootnoteText"/>
        <w:jc w:val="both"/>
      </w:pPr>
      <w:r w:rsidRPr="008518B1">
        <w:rPr>
          <w:rStyle w:val="FootnoteReference"/>
        </w:rPr>
        <w:footnoteRef/>
      </w:r>
      <w:r w:rsidRPr="008518B1">
        <w:t xml:space="preserve"> </w:t>
      </w:r>
      <w:proofErr w:type="spellStart"/>
      <w:proofErr w:type="gramStart"/>
      <w:r w:rsidRPr="008518B1">
        <w:t>Vescovi</w:t>
      </w:r>
      <w:proofErr w:type="spellEnd"/>
      <w:r w:rsidRPr="008518B1">
        <w:t xml:space="preserve"> </w:t>
      </w:r>
      <w:r w:rsidRPr="008518B1">
        <w:rPr>
          <w:i/>
        </w:rPr>
        <w:t>et al.</w:t>
      </w:r>
      <w:r w:rsidRPr="008518B1">
        <w:t xml:space="preserve"> 2010.</w:t>
      </w:r>
      <w:proofErr w:type="gramEnd"/>
    </w:p>
  </w:footnote>
  <w:footnote w:id="31">
    <w:p w:rsidR="00704B1C" w:rsidRPr="008518B1" w:rsidRDefault="00704B1C" w:rsidP="008518B1">
      <w:pPr>
        <w:pStyle w:val="FootnoteText"/>
        <w:jc w:val="both"/>
      </w:pPr>
      <w:r w:rsidRPr="008518B1">
        <w:rPr>
          <w:rStyle w:val="FootnoteReference"/>
        </w:rPr>
        <w:footnoteRef/>
      </w:r>
      <w:r w:rsidRPr="008518B1">
        <w:t xml:space="preserve"> </w:t>
      </w:r>
      <w:proofErr w:type="gramStart"/>
      <w:r w:rsidRPr="008518B1">
        <w:t xml:space="preserve">Watts </w:t>
      </w:r>
      <w:r w:rsidRPr="008518B1">
        <w:rPr>
          <w:i/>
        </w:rPr>
        <w:t>et al.</w:t>
      </w:r>
      <w:r w:rsidRPr="008518B1">
        <w:t xml:space="preserve"> 1996b.</w:t>
      </w:r>
      <w:proofErr w:type="gramEnd"/>
    </w:p>
  </w:footnote>
  <w:footnote w:id="32">
    <w:p w:rsidR="00704B1C" w:rsidRPr="008518B1" w:rsidRDefault="00704B1C" w:rsidP="008518B1">
      <w:pPr>
        <w:pStyle w:val="FootnoteText"/>
        <w:jc w:val="both"/>
      </w:pPr>
      <w:r w:rsidRPr="008518B1">
        <w:rPr>
          <w:rStyle w:val="FootnoteReference"/>
        </w:rPr>
        <w:footnoteRef/>
      </w:r>
      <w:r w:rsidRPr="008518B1">
        <w:t xml:space="preserve"> </w:t>
      </w:r>
      <w:proofErr w:type="spellStart"/>
      <w:proofErr w:type="gramStart"/>
      <w:r w:rsidRPr="008518B1">
        <w:t>Vescovi</w:t>
      </w:r>
      <w:proofErr w:type="spellEnd"/>
      <w:r w:rsidRPr="008518B1">
        <w:t xml:space="preserve"> </w:t>
      </w:r>
      <w:r w:rsidRPr="008518B1">
        <w:rPr>
          <w:i/>
        </w:rPr>
        <w:t>et al.</w:t>
      </w:r>
      <w:r w:rsidRPr="008518B1">
        <w:t xml:space="preserve"> 2010.</w:t>
      </w:r>
      <w:proofErr w:type="gramEnd"/>
    </w:p>
  </w:footnote>
  <w:footnote w:id="33">
    <w:p w:rsidR="00704B1C" w:rsidRPr="008518B1" w:rsidRDefault="00704B1C" w:rsidP="008518B1">
      <w:pPr>
        <w:pStyle w:val="FootnoteText"/>
        <w:jc w:val="both"/>
      </w:pPr>
      <w:r w:rsidRPr="008518B1">
        <w:rPr>
          <w:rStyle w:val="FootnoteReference"/>
        </w:rPr>
        <w:footnoteRef/>
      </w:r>
      <w:r w:rsidRPr="008518B1">
        <w:t xml:space="preserve"> Roberts </w:t>
      </w:r>
      <w:r w:rsidRPr="008518B1">
        <w:rPr>
          <w:i/>
        </w:rPr>
        <w:t>et al.</w:t>
      </w:r>
      <w:r w:rsidRPr="008518B1">
        <w:t xml:space="preserve"> 2008.</w:t>
      </w:r>
    </w:p>
  </w:footnote>
  <w:footnote w:id="34">
    <w:p w:rsidR="00704B1C" w:rsidRPr="008518B1" w:rsidRDefault="00704B1C" w:rsidP="008518B1">
      <w:pPr>
        <w:pStyle w:val="FootnoteText"/>
        <w:jc w:val="both"/>
      </w:pPr>
      <w:r w:rsidRPr="008518B1">
        <w:rPr>
          <w:rStyle w:val="FootnoteReference"/>
        </w:rPr>
        <w:footnoteRef/>
      </w:r>
      <w:r w:rsidRPr="008518B1">
        <w:t xml:space="preserve"> </w:t>
      </w:r>
      <w:proofErr w:type="gramStart"/>
      <w:r w:rsidRPr="008518B1">
        <w:t xml:space="preserve">E.g. Watts </w:t>
      </w:r>
      <w:r w:rsidRPr="008518B1">
        <w:rPr>
          <w:i/>
        </w:rPr>
        <w:t>et al.</w:t>
      </w:r>
      <w:r w:rsidRPr="008518B1">
        <w:t xml:space="preserve"> 1996a; Allen </w:t>
      </w:r>
      <w:r w:rsidRPr="008518B1">
        <w:rPr>
          <w:i/>
        </w:rPr>
        <w:t>et al.</w:t>
      </w:r>
      <w:r w:rsidRPr="008518B1">
        <w:t xml:space="preserve"> 2002; </w:t>
      </w:r>
      <w:proofErr w:type="spellStart"/>
      <w:r w:rsidRPr="008518B1">
        <w:t>Finsinger</w:t>
      </w:r>
      <w:proofErr w:type="spellEnd"/>
      <w:r w:rsidRPr="008518B1">
        <w:t xml:space="preserve"> </w:t>
      </w:r>
      <w:r w:rsidRPr="008518B1">
        <w:rPr>
          <w:i/>
        </w:rPr>
        <w:t>et al.</w:t>
      </w:r>
      <w:r w:rsidRPr="008518B1">
        <w:t xml:space="preserve"> 2006.</w:t>
      </w:r>
      <w:proofErr w:type="gramEnd"/>
    </w:p>
  </w:footnote>
  <w:footnote w:id="35">
    <w:p w:rsidR="00704B1C" w:rsidRPr="008518B1" w:rsidRDefault="00704B1C" w:rsidP="008518B1">
      <w:pPr>
        <w:pStyle w:val="FootnoteText"/>
        <w:jc w:val="both"/>
      </w:pPr>
      <w:r w:rsidRPr="008518B1">
        <w:rPr>
          <w:rStyle w:val="FootnoteReference"/>
        </w:rPr>
        <w:footnoteRef/>
      </w:r>
      <w:r w:rsidRPr="008518B1">
        <w:t xml:space="preserve"> Lowe 1992.</w:t>
      </w:r>
    </w:p>
  </w:footnote>
  <w:footnote w:id="36">
    <w:p w:rsidR="00704B1C" w:rsidRPr="008518B1" w:rsidRDefault="00704B1C" w:rsidP="008518B1">
      <w:pPr>
        <w:pStyle w:val="FootnoteText"/>
        <w:jc w:val="both"/>
      </w:pPr>
      <w:r w:rsidRPr="008518B1">
        <w:rPr>
          <w:rStyle w:val="FootnoteReference"/>
        </w:rPr>
        <w:footnoteRef/>
      </w:r>
      <w:r w:rsidRPr="008518B1">
        <w:t xml:space="preserve"> </w:t>
      </w:r>
      <w:proofErr w:type="gramStart"/>
      <w:r w:rsidRPr="008518B1">
        <w:t>Branch 2013.</w:t>
      </w:r>
      <w:proofErr w:type="gramEnd"/>
    </w:p>
  </w:footnote>
  <w:footnote w:id="37">
    <w:p w:rsidR="00704B1C" w:rsidRDefault="00704B1C" w:rsidP="008518B1">
      <w:pPr>
        <w:pStyle w:val="FootnoteText"/>
        <w:jc w:val="both"/>
      </w:pPr>
      <w:r w:rsidRPr="008518B1">
        <w:rPr>
          <w:rStyle w:val="FootnoteReference"/>
        </w:rPr>
        <w:footnoteRef/>
      </w:r>
      <w:r w:rsidRPr="008518B1">
        <w:t xml:space="preserve"> </w:t>
      </w:r>
      <w:proofErr w:type="gramStart"/>
      <w:r w:rsidRPr="008518B1">
        <w:t xml:space="preserve">Cruise 1990a, 1990b; Lowe 1992; Watson 1996; Cruise </w:t>
      </w:r>
      <w:r w:rsidRPr="008518B1">
        <w:rPr>
          <w:i/>
        </w:rPr>
        <w:t>et al.</w:t>
      </w:r>
      <w:r w:rsidRPr="008518B1">
        <w:t xml:space="preserve"> 2009; </w:t>
      </w:r>
      <w:proofErr w:type="spellStart"/>
      <w:r w:rsidRPr="008518B1">
        <w:t>Vescovi</w:t>
      </w:r>
      <w:proofErr w:type="spellEnd"/>
      <w:r w:rsidRPr="008518B1">
        <w:t xml:space="preserve"> </w:t>
      </w:r>
      <w:r w:rsidRPr="008518B1">
        <w:rPr>
          <w:i/>
        </w:rPr>
        <w:t>et al.</w:t>
      </w:r>
      <w:r w:rsidRPr="008518B1">
        <w:t xml:space="preserve"> 2010.</w:t>
      </w:r>
      <w:proofErr w:type="gramEnd"/>
    </w:p>
  </w:footnote>
  <w:footnote w:id="38">
    <w:p w:rsidR="009D7540" w:rsidRPr="008518B1" w:rsidRDefault="009D7540" w:rsidP="008518B1">
      <w:pPr>
        <w:pStyle w:val="FootnoteText"/>
        <w:jc w:val="both"/>
      </w:pPr>
      <w:r w:rsidRPr="008518B1">
        <w:rPr>
          <w:rStyle w:val="FootnoteReference"/>
        </w:rPr>
        <w:footnoteRef/>
      </w:r>
      <w:r w:rsidRPr="008518B1">
        <w:t xml:space="preserve"> </w:t>
      </w:r>
      <w:proofErr w:type="gramStart"/>
      <w:r w:rsidRPr="008518B1">
        <w:t xml:space="preserve">E.g. Lowe 1992; Watson 1996; </w:t>
      </w:r>
      <w:proofErr w:type="spellStart"/>
      <w:r w:rsidRPr="008518B1">
        <w:t>Vescovi</w:t>
      </w:r>
      <w:proofErr w:type="spellEnd"/>
      <w:r w:rsidRPr="008518B1">
        <w:t xml:space="preserve"> </w:t>
      </w:r>
      <w:r w:rsidRPr="008518B1">
        <w:rPr>
          <w:i/>
        </w:rPr>
        <w:t>et al.</w:t>
      </w:r>
      <w:r w:rsidRPr="008518B1">
        <w:t xml:space="preserve"> 2010; Branch 2013.</w:t>
      </w:r>
      <w:proofErr w:type="gramEnd"/>
    </w:p>
  </w:footnote>
  <w:footnote w:id="39">
    <w:p w:rsidR="009D7540" w:rsidRPr="008518B1" w:rsidRDefault="009D7540" w:rsidP="008518B1">
      <w:pPr>
        <w:pStyle w:val="FootnoteText"/>
        <w:jc w:val="both"/>
      </w:pPr>
      <w:r w:rsidRPr="008518B1">
        <w:rPr>
          <w:rStyle w:val="FootnoteReference"/>
        </w:rPr>
        <w:footnoteRef/>
      </w:r>
      <w:r w:rsidRPr="008518B1">
        <w:t xml:space="preserve"> See </w:t>
      </w:r>
      <w:proofErr w:type="spellStart"/>
      <w:r w:rsidRPr="008518B1">
        <w:t>Finsinger</w:t>
      </w:r>
      <w:proofErr w:type="spellEnd"/>
      <w:r w:rsidRPr="008518B1">
        <w:t xml:space="preserve"> </w:t>
      </w:r>
      <w:r w:rsidRPr="008518B1">
        <w:rPr>
          <w:i/>
        </w:rPr>
        <w:t>et al.</w:t>
      </w:r>
      <w:r w:rsidRPr="008518B1">
        <w:t xml:space="preserve"> 2006.</w:t>
      </w:r>
    </w:p>
  </w:footnote>
  <w:footnote w:id="40">
    <w:p w:rsidR="009D7540" w:rsidRPr="008518B1" w:rsidRDefault="009D7540" w:rsidP="008518B1">
      <w:pPr>
        <w:pStyle w:val="FootnoteText"/>
        <w:jc w:val="both"/>
      </w:pPr>
      <w:r w:rsidRPr="008518B1">
        <w:rPr>
          <w:rStyle w:val="FootnoteReference"/>
        </w:rPr>
        <w:footnoteRef/>
      </w:r>
      <w:r w:rsidRPr="008518B1">
        <w:t xml:space="preserve"> </w:t>
      </w:r>
      <w:proofErr w:type="gramStart"/>
      <w:r w:rsidRPr="008518B1">
        <w:t>Branch 2013.</w:t>
      </w:r>
      <w:proofErr w:type="gramEnd"/>
    </w:p>
  </w:footnote>
  <w:footnote w:id="41">
    <w:p w:rsidR="009D7540" w:rsidRPr="008518B1" w:rsidRDefault="009D7540" w:rsidP="008518B1">
      <w:pPr>
        <w:pStyle w:val="FootnoteText"/>
        <w:jc w:val="both"/>
      </w:pPr>
      <w:r w:rsidRPr="008518B1">
        <w:rPr>
          <w:rStyle w:val="FootnoteReference"/>
        </w:rPr>
        <w:footnoteRef/>
      </w:r>
      <w:r w:rsidRPr="008518B1">
        <w:t xml:space="preserve"> </w:t>
      </w:r>
      <w:proofErr w:type="spellStart"/>
      <w:proofErr w:type="gramStart"/>
      <w:r w:rsidRPr="008518B1">
        <w:t>Peyron</w:t>
      </w:r>
      <w:proofErr w:type="spellEnd"/>
      <w:r w:rsidRPr="008518B1">
        <w:t xml:space="preserve"> </w:t>
      </w:r>
      <w:r w:rsidRPr="008518B1">
        <w:rPr>
          <w:i/>
        </w:rPr>
        <w:t>et al.</w:t>
      </w:r>
      <w:r w:rsidRPr="008518B1">
        <w:t xml:space="preserve"> 2011; Branch 2013.</w:t>
      </w:r>
      <w:proofErr w:type="gramEnd"/>
    </w:p>
  </w:footnote>
  <w:footnote w:id="42">
    <w:p w:rsidR="009D7540" w:rsidRPr="008518B1" w:rsidRDefault="009D7540" w:rsidP="008518B1">
      <w:pPr>
        <w:pStyle w:val="FootnoteText"/>
        <w:jc w:val="both"/>
      </w:pPr>
      <w:r w:rsidRPr="008518B1">
        <w:rPr>
          <w:rStyle w:val="FootnoteReference"/>
        </w:rPr>
        <w:footnoteRef/>
      </w:r>
      <w:r w:rsidRPr="008518B1">
        <w:t xml:space="preserve"> </w:t>
      </w:r>
      <w:proofErr w:type="gramStart"/>
      <w:r w:rsidRPr="008518B1">
        <w:t xml:space="preserve">Lowe </w:t>
      </w:r>
      <w:r w:rsidRPr="008518B1">
        <w:rPr>
          <w:i/>
        </w:rPr>
        <w:t>et al.</w:t>
      </w:r>
      <w:r w:rsidRPr="008518B1">
        <w:t xml:space="preserve"> 1994b; </w:t>
      </w:r>
      <w:proofErr w:type="spellStart"/>
      <w:r w:rsidRPr="008518B1">
        <w:t>Vescovi</w:t>
      </w:r>
      <w:proofErr w:type="spellEnd"/>
      <w:r w:rsidRPr="008518B1">
        <w:t xml:space="preserve"> </w:t>
      </w:r>
      <w:r w:rsidRPr="008518B1">
        <w:rPr>
          <w:i/>
        </w:rPr>
        <w:t>et al</w:t>
      </w:r>
      <w:r w:rsidRPr="008518B1">
        <w:t>. 2010.</w:t>
      </w:r>
      <w:proofErr w:type="gramEnd"/>
    </w:p>
  </w:footnote>
  <w:footnote w:id="43">
    <w:p w:rsidR="009D7540" w:rsidRPr="008518B1" w:rsidRDefault="009D7540" w:rsidP="008518B1">
      <w:pPr>
        <w:pStyle w:val="FootnoteText"/>
        <w:jc w:val="both"/>
      </w:pPr>
      <w:r w:rsidRPr="008518B1">
        <w:rPr>
          <w:rStyle w:val="FootnoteReference"/>
        </w:rPr>
        <w:footnoteRef/>
      </w:r>
      <w:r w:rsidRPr="008518B1">
        <w:t xml:space="preserve"> </w:t>
      </w:r>
      <w:proofErr w:type="gramStart"/>
      <w:r w:rsidRPr="008518B1">
        <w:t xml:space="preserve">Cruise </w:t>
      </w:r>
      <w:r w:rsidRPr="008518B1">
        <w:rPr>
          <w:i/>
        </w:rPr>
        <w:t>et al.</w:t>
      </w:r>
      <w:r w:rsidRPr="008518B1">
        <w:t xml:space="preserve"> 2009.</w:t>
      </w:r>
      <w:proofErr w:type="gramEnd"/>
    </w:p>
  </w:footnote>
  <w:footnote w:id="44">
    <w:p w:rsidR="009D7540" w:rsidRPr="008518B1" w:rsidRDefault="009D7540" w:rsidP="008518B1">
      <w:pPr>
        <w:pStyle w:val="FootnoteText"/>
        <w:jc w:val="both"/>
      </w:pPr>
      <w:r w:rsidRPr="008518B1">
        <w:rPr>
          <w:rStyle w:val="FootnoteReference"/>
        </w:rPr>
        <w:footnoteRef/>
      </w:r>
      <w:r w:rsidRPr="008518B1">
        <w:t xml:space="preserve"> </w:t>
      </w:r>
      <w:proofErr w:type="gramStart"/>
      <w:r w:rsidRPr="008518B1">
        <w:t>Branch 2002; Branch and Marini 2014.</w:t>
      </w:r>
      <w:proofErr w:type="gramEnd"/>
    </w:p>
  </w:footnote>
  <w:footnote w:id="45">
    <w:p w:rsidR="00F55833" w:rsidRDefault="00F55833" w:rsidP="008518B1">
      <w:pPr>
        <w:pStyle w:val="FootnoteText"/>
        <w:jc w:val="both"/>
      </w:pPr>
      <w:r w:rsidRPr="008518B1">
        <w:rPr>
          <w:rStyle w:val="FootnoteReference"/>
        </w:rPr>
        <w:footnoteRef/>
      </w:r>
      <w:r w:rsidRPr="008518B1">
        <w:t xml:space="preserve"> </w:t>
      </w:r>
      <w:proofErr w:type="gramStart"/>
      <w:r w:rsidRPr="008518B1">
        <w:t xml:space="preserve">Lowe </w:t>
      </w:r>
      <w:r w:rsidRPr="008518B1">
        <w:rPr>
          <w:i/>
        </w:rPr>
        <w:t>et al.</w:t>
      </w:r>
      <w:r w:rsidRPr="008518B1">
        <w:t xml:space="preserve"> 1994b; Montanari </w:t>
      </w:r>
      <w:r w:rsidRPr="008518B1">
        <w:rPr>
          <w:i/>
        </w:rPr>
        <w:t>et al.</w:t>
      </w:r>
      <w:r w:rsidRPr="008518B1">
        <w:t xml:space="preserve"> 1998; Bellini </w:t>
      </w:r>
      <w:r w:rsidRPr="008518B1">
        <w:rPr>
          <w:i/>
        </w:rPr>
        <w:t>et al.</w:t>
      </w:r>
      <w:r w:rsidRPr="008518B1">
        <w:t xml:space="preserve"> 2009; </w:t>
      </w:r>
      <w:proofErr w:type="spellStart"/>
      <w:r w:rsidRPr="008518B1">
        <w:t>Vescovi</w:t>
      </w:r>
      <w:proofErr w:type="spellEnd"/>
      <w:r w:rsidRPr="008518B1">
        <w:t xml:space="preserve"> </w:t>
      </w:r>
      <w:r w:rsidRPr="008518B1">
        <w:rPr>
          <w:i/>
        </w:rPr>
        <w:t>et al.</w:t>
      </w:r>
      <w:r w:rsidRPr="008518B1">
        <w:t xml:space="preserve"> 2010.</w:t>
      </w:r>
      <w:proofErr w:type="gramEnd"/>
    </w:p>
  </w:footnote>
  <w:footnote w:id="46">
    <w:p w:rsidR="00F55833" w:rsidRPr="008518B1" w:rsidRDefault="00F55833" w:rsidP="008518B1">
      <w:pPr>
        <w:pStyle w:val="FootnoteText"/>
        <w:jc w:val="both"/>
      </w:pPr>
      <w:r w:rsidRPr="008518B1">
        <w:rPr>
          <w:rStyle w:val="FootnoteReference"/>
        </w:rPr>
        <w:footnoteRef/>
      </w:r>
      <w:r w:rsidRPr="008518B1">
        <w:t xml:space="preserve"> </w:t>
      </w:r>
      <w:proofErr w:type="gramStart"/>
      <w:r w:rsidRPr="008518B1">
        <w:t>Branch 2002.</w:t>
      </w:r>
      <w:proofErr w:type="gramEnd"/>
    </w:p>
  </w:footnote>
  <w:footnote w:id="47">
    <w:p w:rsidR="00F55833" w:rsidRPr="008518B1" w:rsidRDefault="00F55833" w:rsidP="008518B1">
      <w:pPr>
        <w:pStyle w:val="FootnoteText"/>
        <w:jc w:val="both"/>
      </w:pPr>
      <w:r w:rsidRPr="008518B1">
        <w:rPr>
          <w:rStyle w:val="FootnoteReference"/>
        </w:rPr>
        <w:footnoteRef/>
      </w:r>
      <w:r w:rsidRPr="008518B1">
        <w:t xml:space="preserve"> </w:t>
      </w:r>
      <w:proofErr w:type="gramStart"/>
      <w:r w:rsidRPr="008518B1">
        <w:t xml:space="preserve">Cruise </w:t>
      </w:r>
      <w:r w:rsidRPr="008518B1">
        <w:rPr>
          <w:i/>
        </w:rPr>
        <w:t>et al.</w:t>
      </w:r>
      <w:r w:rsidRPr="008518B1">
        <w:t xml:space="preserve"> 2009.</w:t>
      </w:r>
      <w:proofErr w:type="gramEnd"/>
    </w:p>
  </w:footnote>
  <w:footnote w:id="48">
    <w:p w:rsidR="00F55833" w:rsidRPr="008518B1" w:rsidRDefault="00F55833" w:rsidP="008518B1">
      <w:pPr>
        <w:pStyle w:val="FootnoteText"/>
        <w:jc w:val="both"/>
      </w:pPr>
      <w:r w:rsidRPr="008518B1">
        <w:rPr>
          <w:rStyle w:val="FootnoteReference"/>
        </w:rPr>
        <w:footnoteRef/>
      </w:r>
      <w:r w:rsidRPr="008518B1">
        <w:t xml:space="preserve"> </w:t>
      </w:r>
      <w:proofErr w:type="gramStart"/>
      <w:r w:rsidRPr="008518B1">
        <w:t>Branch 2004.</w:t>
      </w:r>
      <w:proofErr w:type="gramEnd"/>
    </w:p>
  </w:footnote>
  <w:footnote w:id="49">
    <w:p w:rsidR="00F55833" w:rsidRPr="008518B1" w:rsidRDefault="00F55833" w:rsidP="008518B1">
      <w:pPr>
        <w:pStyle w:val="FootnoteText"/>
        <w:jc w:val="both"/>
      </w:pPr>
      <w:r w:rsidRPr="008518B1">
        <w:rPr>
          <w:rStyle w:val="FootnoteReference"/>
        </w:rPr>
        <w:footnoteRef/>
      </w:r>
      <w:r w:rsidRPr="008518B1">
        <w:t xml:space="preserve"> See </w:t>
      </w:r>
      <w:proofErr w:type="spellStart"/>
      <w:r w:rsidRPr="008518B1">
        <w:t>Vescovi</w:t>
      </w:r>
      <w:proofErr w:type="spellEnd"/>
      <w:r w:rsidRPr="008518B1">
        <w:t xml:space="preserve"> </w:t>
      </w:r>
      <w:r w:rsidRPr="008518B1">
        <w:rPr>
          <w:i/>
        </w:rPr>
        <w:t>et al.</w:t>
      </w:r>
      <w:r w:rsidRPr="008518B1">
        <w:t xml:space="preserve"> 2010; Branch 2013.</w:t>
      </w:r>
    </w:p>
  </w:footnote>
  <w:footnote w:id="50">
    <w:p w:rsidR="00F55833" w:rsidRPr="008518B1" w:rsidRDefault="00F55833" w:rsidP="008518B1">
      <w:pPr>
        <w:pStyle w:val="FootnoteText"/>
        <w:jc w:val="both"/>
      </w:pPr>
      <w:r w:rsidRPr="008518B1">
        <w:rPr>
          <w:rStyle w:val="FootnoteReference"/>
        </w:rPr>
        <w:footnoteRef/>
      </w:r>
      <w:r w:rsidRPr="008518B1">
        <w:t xml:space="preserve"> </w:t>
      </w:r>
      <w:proofErr w:type="gramStart"/>
      <w:r w:rsidRPr="008518B1">
        <w:t xml:space="preserve">Bellini </w:t>
      </w:r>
      <w:r w:rsidRPr="008518B1">
        <w:rPr>
          <w:i/>
        </w:rPr>
        <w:t>et al.</w:t>
      </w:r>
      <w:r w:rsidRPr="008518B1">
        <w:t xml:space="preserve"> 2009; Cruise </w:t>
      </w:r>
      <w:r w:rsidRPr="008518B1">
        <w:rPr>
          <w:i/>
        </w:rPr>
        <w:t>et al.</w:t>
      </w:r>
      <w:r w:rsidRPr="008518B1">
        <w:t xml:space="preserve"> 2009.</w:t>
      </w:r>
      <w:proofErr w:type="gramEnd"/>
    </w:p>
  </w:footnote>
  <w:footnote w:id="51">
    <w:p w:rsidR="00F55833" w:rsidRPr="008518B1" w:rsidRDefault="00F55833" w:rsidP="008518B1">
      <w:pPr>
        <w:pStyle w:val="FootnoteText"/>
        <w:jc w:val="both"/>
      </w:pPr>
      <w:r w:rsidRPr="008518B1">
        <w:rPr>
          <w:rStyle w:val="FootnoteReference"/>
        </w:rPr>
        <w:footnoteRef/>
      </w:r>
      <w:r w:rsidRPr="008518B1">
        <w:t xml:space="preserve"> </w:t>
      </w:r>
      <w:proofErr w:type="spellStart"/>
      <w:proofErr w:type="gramStart"/>
      <w:r w:rsidRPr="008518B1">
        <w:t>Baffico</w:t>
      </w:r>
      <w:proofErr w:type="spellEnd"/>
      <w:r w:rsidRPr="008518B1">
        <w:t xml:space="preserve"> </w:t>
      </w:r>
      <w:r w:rsidRPr="008518B1">
        <w:rPr>
          <w:i/>
        </w:rPr>
        <w:t>et al.</w:t>
      </w:r>
      <w:r w:rsidRPr="008518B1">
        <w:t xml:space="preserve"> 1987; Cruise 1990b; Lowe</w:t>
      </w:r>
      <w:r w:rsidRPr="008518B1">
        <w:rPr>
          <w:i/>
        </w:rPr>
        <w:t xml:space="preserve"> et al.</w:t>
      </w:r>
      <w:r w:rsidRPr="008518B1">
        <w:t xml:space="preserve"> 1994b; </w:t>
      </w:r>
      <w:proofErr w:type="spellStart"/>
      <w:r w:rsidRPr="008518B1">
        <w:t>Vescovi</w:t>
      </w:r>
      <w:proofErr w:type="spellEnd"/>
      <w:r w:rsidRPr="008518B1">
        <w:t xml:space="preserve"> </w:t>
      </w:r>
      <w:r w:rsidRPr="008518B1">
        <w:rPr>
          <w:i/>
        </w:rPr>
        <w:t>et al.</w:t>
      </w:r>
      <w:r w:rsidRPr="008518B1">
        <w:t xml:space="preserve"> 2010.</w:t>
      </w:r>
      <w:proofErr w:type="gramEnd"/>
    </w:p>
  </w:footnote>
  <w:footnote w:id="52">
    <w:p w:rsidR="00F55833" w:rsidRDefault="00F55833" w:rsidP="008518B1">
      <w:pPr>
        <w:pStyle w:val="FootnoteText"/>
        <w:jc w:val="both"/>
      </w:pPr>
      <w:r w:rsidRPr="008518B1">
        <w:rPr>
          <w:rStyle w:val="FootnoteReference"/>
        </w:rPr>
        <w:footnoteRef/>
      </w:r>
      <w:r w:rsidRPr="008518B1">
        <w:t xml:space="preserve"> </w:t>
      </w:r>
      <w:proofErr w:type="gramStart"/>
      <w:r w:rsidRPr="008518B1">
        <w:t xml:space="preserve">Cruise </w:t>
      </w:r>
      <w:r w:rsidRPr="008518B1">
        <w:rPr>
          <w:i/>
        </w:rPr>
        <w:t>et al.</w:t>
      </w:r>
      <w:r w:rsidRPr="008518B1">
        <w:t xml:space="preserve"> 2009; Branch 2013.</w:t>
      </w:r>
      <w:proofErr w:type="gramEnd"/>
    </w:p>
  </w:footnote>
  <w:footnote w:id="53">
    <w:p w:rsidR="00F55833" w:rsidRPr="008518B1" w:rsidRDefault="00F55833" w:rsidP="008518B1">
      <w:pPr>
        <w:pStyle w:val="FootnoteText"/>
        <w:jc w:val="both"/>
      </w:pPr>
      <w:r w:rsidRPr="008518B1">
        <w:rPr>
          <w:rStyle w:val="FootnoteReference"/>
        </w:rPr>
        <w:footnoteRef/>
      </w:r>
      <w:r w:rsidRPr="008518B1">
        <w:t xml:space="preserve"> </w:t>
      </w:r>
      <w:proofErr w:type="gramStart"/>
      <w:r w:rsidRPr="008518B1">
        <w:t>Maggi 1997, 2004.</w:t>
      </w:r>
      <w:proofErr w:type="gramEnd"/>
    </w:p>
  </w:footnote>
  <w:footnote w:id="54">
    <w:p w:rsidR="00F55833" w:rsidRPr="008518B1" w:rsidRDefault="00F55833" w:rsidP="008518B1">
      <w:pPr>
        <w:pStyle w:val="FootnoteText"/>
        <w:jc w:val="both"/>
      </w:pPr>
      <w:r w:rsidRPr="008518B1">
        <w:rPr>
          <w:rStyle w:val="FootnoteReference"/>
        </w:rPr>
        <w:footnoteRef/>
      </w:r>
      <w:r w:rsidRPr="008518B1">
        <w:t xml:space="preserve"> </w:t>
      </w:r>
      <w:proofErr w:type="gramStart"/>
      <w:r w:rsidRPr="008518B1">
        <w:t>Maggi 1999, 2004.</w:t>
      </w:r>
      <w:proofErr w:type="gramEnd"/>
    </w:p>
  </w:footnote>
  <w:footnote w:id="55">
    <w:p w:rsidR="00782F47" w:rsidRPr="008518B1" w:rsidRDefault="00782F47" w:rsidP="008518B1">
      <w:pPr>
        <w:pStyle w:val="FootnoteText"/>
        <w:jc w:val="both"/>
      </w:pPr>
      <w:r w:rsidRPr="008518B1">
        <w:rPr>
          <w:rStyle w:val="FootnoteReference"/>
        </w:rPr>
        <w:footnoteRef/>
      </w:r>
      <w:r w:rsidRPr="008518B1">
        <w:t xml:space="preserve"> See Branch 2013; Branch and Marini 2014; Branch et al. 2014.</w:t>
      </w:r>
    </w:p>
  </w:footnote>
  <w:footnote w:id="56">
    <w:p w:rsidR="00782F47" w:rsidRPr="008518B1" w:rsidRDefault="00782F47" w:rsidP="008518B1">
      <w:pPr>
        <w:pStyle w:val="FootnoteText"/>
        <w:jc w:val="both"/>
      </w:pPr>
      <w:r w:rsidRPr="008518B1">
        <w:rPr>
          <w:rStyle w:val="FootnoteReference"/>
        </w:rPr>
        <w:footnoteRef/>
      </w:r>
      <w:r w:rsidRPr="008518B1">
        <w:t xml:space="preserve"> </w:t>
      </w:r>
      <w:proofErr w:type="spellStart"/>
      <w:proofErr w:type="gramStart"/>
      <w:r w:rsidRPr="008518B1">
        <w:t>Menozzi</w:t>
      </w:r>
      <w:proofErr w:type="spellEnd"/>
      <w:r w:rsidRPr="008518B1">
        <w:t xml:space="preserve"> </w:t>
      </w:r>
      <w:r w:rsidRPr="008518B1">
        <w:rPr>
          <w:i/>
        </w:rPr>
        <w:t>et al.</w:t>
      </w:r>
      <w:r w:rsidRPr="008518B1">
        <w:t xml:space="preserve"> 2010.</w:t>
      </w:r>
      <w:proofErr w:type="gramEnd"/>
    </w:p>
  </w:footnote>
  <w:footnote w:id="57">
    <w:p w:rsidR="00782F47" w:rsidRPr="008518B1" w:rsidRDefault="00782F47" w:rsidP="008518B1">
      <w:pPr>
        <w:pStyle w:val="FootnoteText"/>
        <w:jc w:val="both"/>
      </w:pPr>
      <w:r w:rsidRPr="008518B1">
        <w:rPr>
          <w:rStyle w:val="FootnoteReference"/>
        </w:rPr>
        <w:footnoteRef/>
      </w:r>
      <w:r w:rsidRPr="008518B1">
        <w:t xml:space="preserve"> Morandi unpublished data.</w:t>
      </w:r>
    </w:p>
  </w:footnote>
  <w:footnote w:id="58">
    <w:p w:rsidR="00782F47" w:rsidRPr="008518B1" w:rsidRDefault="00782F47" w:rsidP="008518B1">
      <w:pPr>
        <w:pStyle w:val="FootnoteText"/>
        <w:jc w:val="both"/>
      </w:pPr>
      <w:r w:rsidRPr="008518B1">
        <w:rPr>
          <w:rStyle w:val="FootnoteReference"/>
        </w:rPr>
        <w:footnoteRef/>
      </w:r>
      <w:r w:rsidRPr="008518B1">
        <w:t xml:space="preserve"> Lowe </w:t>
      </w:r>
      <w:r w:rsidRPr="008518B1">
        <w:rPr>
          <w:i/>
        </w:rPr>
        <w:t>et al.</w:t>
      </w:r>
      <w:r w:rsidRPr="008518B1">
        <w:t xml:space="preserve"> 1994b.</w:t>
      </w:r>
    </w:p>
  </w:footnote>
  <w:footnote w:id="59">
    <w:p w:rsidR="00782F47" w:rsidRDefault="00782F47" w:rsidP="008518B1">
      <w:pPr>
        <w:pStyle w:val="FootnoteText"/>
        <w:jc w:val="both"/>
      </w:pPr>
      <w:r w:rsidRPr="008518B1">
        <w:rPr>
          <w:rStyle w:val="FootnoteReference"/>
        </w:rPr>
        <w:footnoteRef/>
      </w:r>
      <w:r w:rsidRPr="008518B1">
        <w:t xml:space="preserve"> </w:t>
      </w:r>
      <w:proofErr w:type="spellStart"/>
      <w:proofErr w:type="gramStart"/>
      <w:r w:rsidRPr="008518B1">
        <w:t>Marzatico</w:t>
      </w:r>
      <w:proofErr w:type="spellEnd"/>
      <w:r w:rsidRPr="008518B1">
        <w:t xml:space="preserve"> 2007.</w:t>
      </w:r>
      <w:proofErr w:type="gramEnd"/>
    </w:p>
  </w:footnote>
  <w:footnote w:id="60">
    <w:p w:rsidR="00782F47" w:rsidRPr="008518B1" w:rsidRDefault="00782F47" w:rsidP="008518B1">
      <w:pPr>
        <w:pStyle w:val="FootnoteText"/>
        <w:jc w:val="both"/>
      </w:pPr>
      <w:r w:rsidRPr="008518B1">
        <w:rPr>
          <w:rStyle w:val="FootnoteReference"/>
        </w:rPr>
        <w:footnoteRef/>
      </w:r>
      <w:r w:rsidRPr="008518B1">
        <w:t xml:space="preserve"> </w:t>
      </w:r>
      <w:proofErr w:type="gramStart"/>
      <w:r w:rsidRPr="008518B1">
        <w:t xml:space="preserve">Maggi and </w:t>
      </w:r>
      <w:proofErr w:type="spellStart"/>
      <w:r w:rsidRPr="008518B1">
        <w:t>Nisbet</w:t>
      </w:r>
      <w:proofErr w:type="spellEnd"/>
      <w:r w:rsidRPr="008518B1">
        <w:t xml:space="preserve"> 1990.</w:t>
      </w:r>
      <w:proofErr w:type="gramEnd"/>
    </w:p>
  </w:footnote>
  <w:footnote w:id="61">
    <w:p w:rsidR="00782F47" w:rsidRPr="008518B1" w:rsidRDefault="00782F47" w:rsidP="008518B1">
      <w:pPr>
        <w:pStyle w:val="FootnoteText"/>
        <w:jc w:val="both"/>
      </w:pPr>
      <w:r w:rsidRPr="008518B1">
        <w:rPr>
          <w:rStyle w:val="FootnoteReference"/>
        </w:rPr>
        <w:footnoteRef/>
      </w:r>
      <w:r w:rsidRPr="008518B1">
        <w:t xml:space="preserve"> Lowe </w:t>
      </w:r>
      <w:r w:rsidRPr="008518B1">
        <w:rPr>
          <w:i/>
        </w:rPr>
        <w:t xml:space="preserve">et al. </w:t>
      </w:r>
      <w:r w:rsidRPr="008518B1">
        <w:t>1994b.</w:t>
      </w:r>
    </w:p>
  </w:footnote>
  <w:footnote w:id="62">
    <w:p w:rsidR="00782F47" w:rsidRPr="008518B1" w:rsidRDefault="00782F47" w:rsidP="008518B1">
      <w:pPr>
        <w:pStyle w:val="FootnoteText"/>
        <w:jc w:val="both"/>
      </w:pPr>
      <w:r w:rsidRPr="008518B1">
        <w:rPr>
          <w:rStyle w:val="FootnoteReference"/>
        </w:rPr>
        <w:footnoteRef/>
      </w:r>
      <w:r w:rsidRPr="008518B1">
        <w:t xml:space="preserve"> Lowe </w:t>
      </w:r>
      <w:r w:rsidRPr="008518B1">
        <w:rPr>
          <w:i/>
        </w:rPr>
        <w:t xml:space="preserve">et al. </w:t>
      </w:r>
      <w:r w:rsidRPr="008518B1">
        <w:t>1994b.</w:t>
      </w:r>
    </w:p>
  </w:footnote>
  <w:footnote w:id="63">
    <w:p w:rsidR="00782F47" w:rsidRPr="008518B1" w:rsidRDefault="00782F47" w:rsidP="008518B1">
      <w:pPr>
        <w:pStyle w:val="FootnoteText"/>
        <w:jc w:val="both"/>
      </w:pPr>
      <w:r w:rsidRPr="008518B1">
        <w:rPr>
          <w:rStyle w:val="FootnoteReference"/>
        </w:rPr>
        <w:footnoteRef/>
      </w:r>
      <w:r w:rsidRPr="008518B1">
        <w:t xml:space="preserve"> </w:t>
      </w:r>
      <w:proofErr w:type="gramStart"/>
      <w:r w:rsidRPr="008518B1">
        <w:t>E.g.</w:t>
      </w:r>
      <w:proofErr w:type="gramEnd"/>
      <w:r w:rsidRPr="008518B1">
        <w:t xml:space="preserve"> see </w:t>
      </w:r>
      <w:proofErr w:type="spellStart"/>
      <w:r w:rsidRPr="008518B1">
        <w:t>Giguet-Covex</w:t>
      </w:r>
      <w:proofErr w:type="spellEnd"/>
      <w:r w:rsidRPr="008518B1">
        <w:t xml:space="preserve"> </w:t>
      </w:r>
      <w:r w:rsidRPr="008518B1">
        <w:rPr>
          <w:i/>
        </w:rPr>
        <w:t>et al.</w:t>
      </w:r>
      <w:r w:rsidRPr="008518B1">
        <w:t xml:space="preserve"> 2014.</w:t>
      </w:r>
    </w:p>
  </w:footnote>
  <w:footnote w:id="64">
    <w:p w:rsidR="00782F47" w:rsidRPr="008518B1" w:rsidRDefault="00782F47" w:rsidP="008518B1">
      <w:pPr>
        <w:pStyle w:val="FootnoteText"/>
        <w:jc w:val="both"/>
      </w:pPr>
      <w:r w:rsidRPr="008518B1">
        <w:rPr>
          <w:rStyle w:val="FootnoteReference"/>
        </w:rPr>
        <w:footnoteRef/>
      </w:r>
      <w:r w:rsidRPr="008518B1">
        <w:t xml:space="preserve"> See </w:t>
      </w:r>
      <w:proofErr w:type="spellStart"/>
      <w:r w:rsidRPr="008518B1">
        <w:t>Baffico</w:t>
      </w:r>
      <w:proofErr w:type="spellEnd"/>
      <w:r w:rsidRPr="008518B1">
        <w:t xml:space="preserve"> </w:t>
      </w:r>
      <w:r w:rsidRPr="008518B1">
        <w:rPr>
          <w:i/>
        </w:rPr>
        <w:t>et al.</w:t>
      </w:r>
      <w:r w:rsidRPr="008518B1">
        <w:t xml:space="preserve"> 1987; Lowe </w:t>
      </w:r>
      <w:r w:rsidRPr="008518B1">
        <w:rPr>
          <w:i/>
        </w:rPr>
        <w:t>et al.</w:t>
      </w:r>
      <w:r w:rsidRPr="008518B1">
        <w:t xml:space="preserve"> 1994b; Brewer </w:t>
      </w:r>
      <w:r w:rsidRPr="008518B1">
        <w:rPr>
          <w:i/>
        </w:rPr>
        <w:t>et al.</w:t>
      </w:r>
      <w:r w:rsidRPr="008518B1">
        <w:t xml:space="preserve"> 2009; </w:t>
      </w:r>
      <w:proofErr w:type="spellStart"/>
      <w:r w:rsidRPr="008518B1">
        <w:t>Jalut</w:t>
      </w:r>
      <w:proofErr w:type="spellEnd"/>
      <w:r w:rsidRPr="008518B1">
        <w:t xml:space="preserve"> </w:t>
      </w:r>
      <w:r w:rsidRPr="008518B1">
        <w:rPr>
          <w:i/>
        </w:rPr>
        <w:t>et al.</w:t>
      </w:r>
      <w:r w:rsidRPr="008518B1">
        <w:t xml:space="preserve"> 2009; </w:t>
      </w:r>
      <w:proofErr w:type="spellStart"/>
      <w:r w:rsidRPr="008518B1">
        <w:t>Vescovi</w:t>
      </w:r>
      <w:proofErr w:type="spellEnd"/>
      <w:r w:rsidRPr="008518B1">
        <w:t xml:space="preserve"> </w:t>
      </w:r>
      <w:r w:rsidRPr="008518B1">
        <w:rPr>
          <w:i/>
        </w:rPr>
        <w:t>et al.</w:t>
      </w:r>
      <w:r w:rsidRPr="008518B1">
        <w:t xml:space="preserve"> 2010; </w:t>
      </w:r>
      <w:proofErr w:type="spellStart"/>
      <w:r w:rsidRPr="008518B1">
        <w:t>Peyron</w:t>
      </w:r>
      <w:proofErr w:type="spellEnd"/>
      <w:r w:rsidRPr="008518B1">
        <w:t xml:space="preserve"> </w:t>
      </w:r>
      <w:r w:rsidRPr="008518B1">
        <w:rPr>
          <w:i/>
        </w:rPr>
        <w:t>et al</w:t>
      </w:r>
      <w:r w:rsidRPr="008518B1">
        <w:t>. 2011.</w:t>
      </w:r>
    </w:p>
  </w:footnote>
  <w:footnote w:id="65">
    <w:p w:rsidR="00782F47" w:rsidRPr="008518B1" w:rsidRDefault="00782F47" w:rsidP="008518B1">
      <w:pPr>
        <w:pStyle w:val="FootnoteText"/>
        <w:jc w:val="both"/>
      </w:pPr>
      <w:r w:rsidRPr="008518B1">
        <w:rPr>
          <w:rStyle w:val="FootnoteReference"/>
        </w:rPr>
        <w:footnoteRef/>
      </w:r>
      <w:r w:rsidRPr="008518B1">
        <w:t xml:space="preserve"> </w:t>
      </w:r>
      <w:proofErr w:type="gramStart"/>
      <w:r w:rsidRPr="008518B1">
        <w:t xml:space="preserve">Brewer </w:t>
      </w:r>
      <w:r w:rsidRPr="008518B1">
        <w:rPr>
          <w:i/>
        </w:rPr>
        <w:t>et al</w:t>
      </w:r>
      <w:r w:rsidRPr="008518B1">
        <w:t xml:space="preserve">. 2009; </w:t>
      </w:r>
      <w:proofErr w:type="spellStart"/>
      <w:r w:rsidRPr="008518B1">
        <w:t>Jalut</w:t>
      </w:r>
      <w:proofErr w:type="spellEnd"/>
      <w:r w:rsidRPr="008518B1">
        <w:t xml:space="preserve"> </w:t>
      </w:r>
      <w:r w:rsidRPr="008518B1">
        <w:rPr>
          <w:i/>
        </w:rPr>
        <w:t>et al</w:t>
      </w:r>
      <w:r w:rsidRPr="008518B1">
        <w:t xml:space="preserve">. 2009; </w:t>
      </w:r>
      <w:proofErr w:type="spellStart"/>
      <w:r w:rsidRPr="008518B1">
        <w:t>Peyron</w:t>
      </w:r>
      <w:proofErr w:type="spellEnd"/>
      <w:r w:rsidRPr="008518B1">
        <w:t xml:space="preserve"> </w:t>
      </w:r>
      <w:r w:rsidRPr="008518B1">
        <w:rPr>
          <w:i/>
        </w:rPr>
        <w:t>et al</w:t>
      </w:r>
      <w:r w:rsidRPr="008518B1">
        <w:t xml:space="preserve">. 2011; </w:t>
      </w:r>
      <w:proofErr w:type="spellStart"/>
      <w:r w:rsidRPr="008518B1">
        <w:t>Renssen</w:t>
      </w:r>
      <w:proofErr w:type="spellEnd"/>
      <w:r w:rsidRPr="008518B1">
        <w:t xml:space="preserve"> </w:t>
      </w:r>
      <w:r w:rsidRPr="008518B1">
        <w:rPr>
          <w:i/>
        </w:rPr>
        <w:t>et al</w:t>
      </w:r>
      <w:r w:rsidRPr="008518B1">
        <w:t>. 2012.</w:t>
      </w:r>
      <w:proofErr w:type="gramEnd"/>
    </w:p>
  </w:footnote>
  <w:footnote w:id="66">
    <w:p w:rsidR="00782F47" w:rsidRDefault="00782F47" w:rsidP="008518B1">
      <w:pPr>
        <w:pStyle w:val="FootnoteText"/>
        <w:jc w:val="both"/>
      </w:pPr>
      <w:r w:rsidRPr="008518B1">
        <w:rPr>
          <w:rStyle w:val="FootnoteReference"/>
        </w:rPr>
        <w:footnoteRef/>
      </w:r>
      <w:r w:rsidRPr="008518B1">
        <w:t xml:space="preserve"> </w:t>
      </w:r>
      <w:proofErr w:type="gramStart"/>
      <w:r w:rsidRPr="008518B1">
        <w:t xml:space="preserve">E.g. Bond </w:t>
      </w:r>
      <w:r w:rsidRPr="008518B1">
        <w:rPr>
          <w:i/>
        </w:rPr>
        <w:t>et al.</w:t>
      </w:r>
      <w:r w:rsidRPr="008518B1">
        <w:t xml:space="preserve"> 1997; </w:t>
      </w:r>
      <w:proofErr w:type="spellStart"/>
      <w:r w:rsidRPr="008518B1">
        <w:t>Mayewski</w:t>
      </w:r>
      <w:proofErr w:type="spellEnd"/>
      <w:r w:rsidRPr="008518B1">
        <w:t xml:space="preserve"> </w:t>
      </w:r>
      <w:r w:rsidRPr="008518B1">
        <w:rPr>
          <w:i/>
        </w:rPr>
        <w:t>et al.</w:t>
      </w:r>
      <w:r w:rsidRPr="008518B1">
        <w:t xml:space="preserve"> 2004; Mercuri </w:t>
      </w:r>
      <w:r w:rsidRPr="008518B1">
        <w:rPr>
          <w:i/>
        </w:rPr>
        <w:t>et al.</w:t>
      </w:r>
      <w:r w:rsidRPr="008518B1">
        <w:t xml:space="preserve"> 2011; </w:t>
      </w:r>
      <w:proofErr w:type="spellStart"/>
      <w:r w:rsidRPr="008518B1">
        <w:t>Lauterbach</w:t>
      </w:r>
      <w:proofErr w:type="spellEnd"/>
      <w:r w:rsidRPr="008518B1">
        <w:t xml:space="preserve"> </w:t>
      </w:r>
      <w:r w:rsidRPr="008518B1">
        <w:rPr>
          <w:i/>
        </w:rPr>
        <w:t>et al.</w:t>
      </w:r>
      <w:r w:rsidRPr="008518B1">
        <w:t xml:space="preserve"> 2012.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70DEC"/>
    <w:multiLevelType w:val="hybridMultilevel"/>
    <w:tmpl w:val="83FA9748"/>
    <w:lvl w:ilvl="0" w:tplc="FFFFFFFF">
      <w:start w:val="1"/>
      <w:numFmt w:val="decimal"/>
      <w:lvlText w:val="%1."/>
      <w:lvlJc w:val="left"/>
      <w:pPr>
        <w:tabs>
          <w:tab w:val="num" w:pos="720"/>
        </w:tabs>
        <w:ind w:left="720" w:hanging="360"/>
      </w:pPr>
      <w:rPr>
        <w:rFonts w:ascii="Times New Roman" w:hAnsi="Times New Roman"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53"/>
    <w:rsid w:val="00003655"/>
    <w:rsid w:val="00003A56"/>
    <w:rsid w:val="00006F95"/>
    <w:rsid w:val="000118CE"/>
    <w:rsid w:val="00014B28"/>
    <w:rsid w:val="0001650A"/>
    <w:rsid w:val="000171FB"/>
    <w:rsid w:val="00017A6C"/>
    <w:rsid w:val="00024F6D"/>
    <w:rsid w:val="00025B1A"/>
    <w:rsid w:val="00025C67"/>
    <w:rsid w:val="00037289"/>
    <w:rsid w:val="00037972"/>
    <w:rsid w:val="00037A39"/>
    <w:rsid w:val="00050119"/>
    <w:rsid w:val="0005532C"/>
    <w:rsid w:val="000565EF"/>
    <w:rsid w:val="00057C0B"/>
    <w:rsid w:val="00060FE6"/>
    <w:rsid w:val="00084CE8"/>
    <w:rsid w:val="00094F83"/>
    <w:rsid w:val="000A4763"/>
    <w:rsid w:val="000C697F"/>
    <w:rsid w:val="000D025A"/>
    <w:rsid w:val="000D68C1"/>
    <w:rsid w:val="000D75E7"/>
    <w:rsid w:val="000F6BBE"/>
    <w:rsid w:val="0010060D"/>
    <w:rsid w:val="0010106E"/>
    <w:rsid w:val="00103694"/>
    <w:rsid w:val="00111938"/>
    <w:rsid w:val="0011230D"/>
    <w:rsid w:val="00113E6D"/>
    <w:rsid w:val="001442C7"/>
    <w:rsid w:val="001456E9"/>
    <w:rsid w:val="0015034D"/>
    <w:rsid w:val="001576EC"/>
    <w:rsid w:val="001636F2"/>
    <w:rsid w:val="00181824"/>
    <w:rsid w:val="00182E3C"/>
    <w:rsid w:val="001A5B61"/>
    <w:rsid w:val="001B5711"/>
    <w:rsid w:val="001B64E1"/>
    <w:rsid w:val="001C592A"/>
    <w:rsid w:val="001E46BC"/>
    <w:rsid w:val="001E7838"/>
    <w:rsid w:val="001F42FA"/>
    <w:rsid w:val="002146B1"/>
    <w:rsid w:val="00225103"/>
    <w:rsid w:val="002324FB"/>
    <w:rsid w:val="0023274E"/>
    <w:rsid w:val="00261B75"/>
    <w:rsid w:val="0026428D"/>
    <w:rsid w:val="00264BF4"/>
    <w:rsid w:val="00266806"/>
    <w:rsid w:val="00271B89"/>
    <w:rsid w:val="00271EA8"/>
    <w:rsid w:val="002739AF"/>
    <w:rsid w:val="00274948"/>
    <w:rsid w:val="002818C0"/>
    <w:rsid w:val="002908BD"/>
    <w:rsid w:val="00291A70"/>
    <w:rsid w:val="0029396E"/>
    <w:rsid w:val="00295C93"/>
    <w:rsid w:val="002A0BD5"/>
    <w:rsid w:val="002A7A96"/>
    <w:rsid w:val="002B36BF"/>
    <w:rsid w:val="002B3EA9"/>
    <w:rsid w:val="002B7FD4"/>
    <w:rsid w:val="002C5245"/>
    <w:rsid w:val="002C6127"/>
    <w:rsid w:val="002D1D42"/>
    <w:rsid w:val="002D258F"/>
    <w:rsid w:val="002E7503"/>
    <w:rsid w:val="002F6D60"/>
    <w:rsid w:val="00301832"/>
    <w:rsid w:val="00303F46"/>
    <w:rsid w:val="00305C36"/>
    <w:rsid w:val="00314945"/>
    <w:rsid w:val="00322EA2"/>
    <w:rsid w:val="003327A2"/>
    <w:rsid w:val="00333F49"/>
    <w:rsid w:val="003437F5"/>
    <w:rsid w:val="003500F3"/>
    <w:rsid w:val="0036050C"/>
    <w:rsid w:val="00363328"/>
    <w:rsid w:val="003647E0"/>
    <w:rsid w:val="003652EA"/>
    <w:rsid w:val="0036631F"/>
    <w:rsid w:val="003724E0"/>
    <w:rsid w:val="003847A8"/>
    <w:rsid w:val="003A44BF"/>
    <w:rsid w:val="003A44F2"/>
    <w:rsid w:val="003B0F03"/>
    <w:rsid w:val="003B4559"/>
    <w:rsid w:val="003C0F94"/>
    <w:rsid w:val="003C6813"/>
    <w:rsid w:val="003C6F2D"/>
    <w:rsid w:val="003C763E"/>
    <w:rsid w:val="003D2A35"/>
    <w:rsid w:val="003E08BC"/>
    <w:rsid w:val="003E4158"/>
    <w:rsid w:val="003F7200"/>
    <w:rsid w:val="00401985"/>
    <w:rsid w:val="00403791"/>
    <w:rsid w:val="0040601A"/>
    <w:rsid w:val="004148EA"/>
    <w:rsid w:val="004239EB"/>
    <w:rsid w:val="004402FE"/>
    <w:rsid w:val="00445511"/>
    <w:rsid w:val="00446B08"/>
    <w:rsid w:val="00460EAB"/>
    <w:rsid w:val="00487490"/>
    <w:rsid w:val="00491CBE"/>
    <w:rsid w:val="004936DC"/>
    <w:rsid w:val="00494115"/>
    <w:rsid w:val="004A066C"/>
    <w:rsid w:val="004B649A"/>
    <w:rsid w:val="004D2204"/>
    <w:rsid w:val="004D3BF2"/>
    <w:rsid w:val="004E0270"/>
    <w:rsid w:val="004E0E78"/>
    <w:rsid w:val="004E1E95"/>
    <w:rsid w:val="004E4CE9"/>
    <w:rsid w:val="004E7206"/>
    <w:rsid w:val="004E7FA1"/>
    <w:rsid w:val="004F68EC"/>
    <w:rsid w:val="00500292"/>
    <w:rsid w:val="005019CF"/>
    <w:rsid w:val="005150D4"/>
    <w:rsid w:val="00516A94"/>
    <w:rsid w:val="00533135"/>
    <w:rsid w:val="005359A0"/>
    <w:rsid w:val="0053700A"/>
    <w:rsid w:val="005456E8"/>
    <w:rsid w:val="00554E34"/>
    <w:rsid w:val="005624DB"/>
    <w:rsid w:val="005635DC"/>
    <w:rsid w:val="005675FD"/>
    <w:rsid w:val="00580F41"/>
    <w:rsid w:val="00581299"/>
    <w:rsid w:val="00583CB6"/>
    <w:rsid w:val="00591595"/>
    <w:rsid w:val="005B187E"/>
    <w:rsid w:val="005B29D5"/>
    <w:rsid w:val="005B65E4"/>
    <w:rsid w:val="005C5B58"/>
    <w:rsid w:val="005E36FE"/>
    <w:rsid w:val="005F2EA3"/>
    <w:rsid w:val="006039A1"/>
    <w:rsid w:val="006119CB"/>
    <w:rsid w:val="006127AC"/>
    <w:rsid w:val="006136DB"/>
    <w:rsid w:val="00622670"/>
    <w:rsid w:val="0063156A"/>
    <w:rsid w:val="006366A2"/>
    <w:rsid w:val="006370DE"/>
    <w:rsid w:val="00644D60"/>
    <w:rsid w:val="0064539E"/>
    <w:rsid w:val="0065388B"/>
    <w:rsid w:val="006605F1"/>
    <w:rsid w:val="0067690B"/>
    <w:rsid w:val="00692FD9"/>
    <w:rsid w:val="006A041C"/>
    <w:rsid w:val="006B30FB"/>
    <w:rsid w:val="006B3D38"/>
    <w:rsid w:val="006C2C22"/>
    <w:rsid w:val="006C3A39"/>
    <w:rsid w:val="006D49A6"/>
    <w:rsid w:val="006E6BBE"/>
    <w:rsid w:val="006E6D53"/>
    <w:rsid w:val="007029C3"/>
    <w:rsid w:val="00704B1C"/>
    <w:rsid w:val="00705ECE"/>
    <w:rsid w:val="007107FD"/>
    <w:rsid w:val="007160B7"/>
    <w:rsid w:val="00716921"/>
    <w:rsid w:val="00726978"/>
    <w:rsid w:val="00732685"/>
    <w:rsid w:val="00735CDE"/>
    <w:rsid w:val="00754C73"/>
    <w:rsid w:val="00755D48"/>
    <w:rsid w:val="00761C3C"/>
    <w:rsid w:val="00762656"/>
    <w:rsid w:val="00765BA9"/>
    <w:rsid w:val="00765D61"/>
    <w:rsid w:val="00765EA8"/>
    <w:rsid w:val="007735C4"/>
    <w:rsid w:val="00782F47"/>
    <w:rsid w:val="00790FB9"/>
    <w:rsid w:val="007A0EED"/>
    <w:rsid w:val="007B3E15"/>
    <w:rsid w:val="007E034C"/>
    <w:rsid w:val="007E60F8"/>
    <w:rsid w:val="00805C78"/>
    <w:rsid w:val="00813FC4"/>
    <w:rsid w:val="008146E4"/>
    <w:rsid w:val="008279D1"/>
    <w:rsid w:val="0083082E"/>
    <w:rsid w:val="00831762"/>
    <w:rsid w:val="00832EAD"/>
    <w:rsid w:val="00836172"/>
    <w:rsid w:val="00842CD1"/>
    <w:rsid w:val="00847EBA"/>
    <w:rsid w:val="008518B1"/>
    <w:rsid w:val="00852F3C"/>
    <w:rsid w:val="00860181"/>
    <w:rsid w:val="00863FB0"/>
    <w:rsid w:val="0087681B"/>
    <w:rsid w:val="008820A4"/>
    <w:rsid w:val="008855E4"/>
    <w:rsid w:val="0089651C"/>
    <w:rsid w:val="008A4AAE"/>
    <w:rsid w:val="008C150F"/>
    <w:rsid w:val="008C3AF1"/>
    <w:rsid w:val="008C78C3"/>
    <w:rsid w:val="008D0291"/>
    <w:rsid w:val="008D49FA"/>
    <w:rsid w:val="008D4BB9"/>
    <w:rsid w:val="008F423B"/>
    <w:rsid w:val="009054DD"/>
    <w:rsid w:val="00907AD1"/>
    <w:rsid w:val="00916AFC"/>
    <w:rsid w:val="009301AF"/>
    <w:rsid w:val="00934E20"/>
    <w:rsid w:val="00952734"/>
    <w:rsid w:val="00955AC5"/>
    <w:rsid w:val="00955DD3"/>
    <w:rsid w:val="009612F1"/>
    <w:rsid w:val="00961951"/>
    <w:rsid w:val="00962AC7"/>
    <w:rsid w:val="00983A1B"/>
    <w:rsid w:val="009A6244"/>
    <w:rsid w:val="009C0BEC"/>
    <w:rsid w:val="009C36A4"/>
    <w:rsid w:val="009D711C"/>
    <w:rsid w:val="009D7540"/>
    <w:rsid w:val="00A019D2"/>
    <w:rsid w:val="00A032BC"/>
    <w:rsid w:val="00A16103"/>
    <w:rsid w:val="00A17FE6"/>
    <w:rsid w:val="00A20D04"/>
    <w:rsid w:val="00A2449D"/>
    <w:rsid w:val="00A26E4F"/>
    <w:rsid w:val="00A33E9B"/>
    <w:rsid w:val="00A53CFF"/>
    <w:rsid w:val="00A567C7"/>
    <w:rsid w:val="00A60B3C"/>
    <w:rsid w:val="00A65E56"/>
    <w:rsid w:val="00A66287"/>
    <w:rsid w:val="00A71C99"/>
    <w:rsid w:val="00A73097"/>
    <w:rsid w:val="00A75E0B"/>
    <w:rsid w:val="00A83085"/>
    <w:rsid w:val="00A83647"/>
    <w:rsid w:val="00A837F0"/>
    <w:rsid w:val="00AA060A"/>
    <w:rsid w:val="00AA248C"/>
    <w:rsid w:val="00AD115B"/>
    <w:rsid w:val="00AD12D9"/>
    <w:rsid w:val="00AD18A4"/>
    <w:rsid w:val="00AD2328"/>
    <w:rsid w:val="00AE67C3"/>
    <w:rsid w:val="00AF1241"/>
    <w:rsid w:val="00B05AFD"/>
    <w:rsid w:val="00B05F30"/>
    <w:rsid w:val="00B14557"/>
    <w:rsid w:val="00B17CE5"/>
    <w:rsid w:val="00B3477C"/>
    <w:rsid w:val="00B34793"/>
    <w:rsid w:val="00B4200A"/>
    <w:rsid w:val="00B4377F"/>
    <w:rsid w:val="00B6392D"/>
    <w:rsid w:val="00B64453"/>
    <w:rsid w:val="00B7178D"/>
    <w:rsid w:val="00B74955"/>
    <w:rsid w:val="00B9134E"/>
    <w:rsid w:val="00B95555"/>
    <w:rsid w:val="00BA74D3"/>
    <w:rsid w:val="00BB1C33"/>
    <w:rsid w:val="00BD5806"/>
    <w:rsid w:val="00BE1752"/>
    <w:rsid w:val="00BF2672"/>
    <w:rsid w:val="00BF3702"/>
    <w:rsid w:val="00BF5946"/>
    <w:rsid w:val="00BF5E3D"/>
    <w:rsid w:val="00BF718A"/>
    <w:rsid w:val="00C01315"/>
    <w:rsid w:val="00C0389A"/>
    <w:rsid w:val="00C0539B"/>
    <w:rsid w:val="00C168F5"/>
    <w:rsid w:val="00C17387"/>
    <w:rsid w:val="00C24BDA"/>
    <w:rsid w:val="00C36B8D"/>
    <w:rsid w:val="00C55F24"/>
    <w:rsid w:val="00C5621F"/>
    <w:rsid w:val="00C624CA"/>
    <w:rsid w:val="00C6350F"/>
    <w:rsid w:val="00C86353"/>
    <w:rsid w:val="00C865AE"/>
    <w:rsid w:val="00C870CF"/>
    <w:rsid w:val="00C90180"/>
    <w:rsid w:val="00C97440"/>
    <w:rsid w:val="00CA4749"/>
    <w:rsid w:val="00CA62E1"/>
    <w:rsid w:val="00CB0530"/>
    <w:rsid w:val="00CB50A6"/>
    <w:rsid w:val="00CD49E2"/>
    <w:rsid w:val="00CD65C9"/>
    <w:rsid w:val="00CE09A8"/>
    <w:rsid w:val="00CF3461"/>
    <w:rsid w:val="00D16B08"/>
    <w:rsid w:val="00D17C6B"/>
    <w:rsid w:val="00D25DD3"/>
    <w:rsid w:val="00D31883"/>
    <w:rsid w:val="00D40236"/>
    <w:rsid w:val="00D46F85"/>
    <w:rsid w:val="00D54C0F"/>
    <w:rsid w:val="00D64F6E"/>
    <w:rsid w:val="00D7210C"/>
    <w:rsid w:val="00D774BD"/>
    <w:rsid w:val="00D81676"/>
    <w:rsid w:val="00D90958"/>
    <w:rsid w:val="00D959E6"/>
    <w:rsid w:val="00DA5B5C"/>
    <w:rsid w:val="00DB642D"/>
    <w:rsid w:val="00DC3A3E"/>
    <w:rsid w:val="00DC70AB"/>
    <w:rsid w:val="00DC7C53"/>
    <w:rsid w:val="00DD1E20"/>
    <w:rsid w:val="00DE5568"/>
    <w:rsid w:val="00E023EF"/>
    <w:rsid w:val="00E21759"/>
    <w:rsid w:val="00E23FDF"/>
    <w:rsid w:val="00E33047"/>
    <w:rsid w:val="00E363FF"/>
    <w:rsid w:val="00E54834"/>
    <w:rsid w:val="00E57727"/>
    <w:rsid w:val="00E61AA2"/>
    <w:rsid w:val="00E63082"/>
    <w:rsid w:val="00E7445F"/>
    <w:rsid w:val="00E80848"/>
    <w:rsid w:val="00E92091"/>
    <w:rsid w:val="00E92CEF"/>
    <w:rsid w:val="00E96C8B"/>
    <w:rsid w:val="00EB79FB"/>
    <w:rsid w:val="00ED0059"/>
    <w:rsid w:val="00ED23F3"/>
    <w:rsid w:val="00F05C27"/>
    <w:rsid w:val="00F252AC"/>
    <w:rsid w:val="00F30BDF"/>
    <w:rsid w:val="00F30F94"/>
    <w:rsid w:val="00F377B1"/>
    <w:rsid w:val="00F441F2"/>
    <w:rsid w:val="00F4530C"/>
    <w:rsid w:val="00F45C24"/>
    <w:rsid w:val="00F465F8"/>
    <w:rsid w:val="00F55833"/>
    <w:rsid w:val="00F74063"/>
    <w:rsid w:val="00F80FAD"/>
    <w:rsid w:val="00F852F4"/>
    <w:rsid w:val="00F86C04"/>
    <w:rsid w:val="00F91640"/>
    <w:rsid w:val="00F946C8"/>
    <w:rsid w:val="00F94FBF"/>
    <w:rsid w:val="00FB1845"/>
    <w:rsid w:val="00FB5D25"/>
    <w:rsid w:val="00FC1227"/>
    <w:rsid w:val="00FD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53"/>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A1B"/>
    <w:pPr>
      <w:keepNext/>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86353"/>
    <w:pPr>
      <w:jc w:val="both"/>
    </w:pPr>
  </w:style>
  <w:style w:type="character" w:customStyle="1" w:styleId="BodyText3Char">
    <w:name w:val="Body Text 3 Char"/>
    <w:basedOn w:val="DefaultParagraphFont"/>
    <w:link w:val="BodyText3"/>
    <w:rsid w:val="00C863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353"/>
    <w:pPr>
      <w:tabs>
        <w:tab w:val="center" w:pos="4513"/>
        <w:tab w:val="right" w:pos="9026"/>
      </w:tabs>
    </w:pPr>
  </w:style>
  <w:style w:type="character" w:customStyle="1" w:styleId="HeaderChar">
    <w:name w:val="Header Char"/>
    <w:basedOn w:val="DefaultParagraphFont"/>
    <w:link w:val="Header"/>
    <w:uiPriority w:val="99"/>
    <w:rsid w:val="00C863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353"/>
    <w:pPr>
      <w:tabs>
        <w:tab w:val="center" w:pos="4513"/>
        <w:tab w:val="right" w:pos="9026"/>
      </w:tabs>
    </w:pPr>
  </w:style>
  <w:style w:type="character" w:customStyle="1" w:styleId="FooterChar">
    <w:name w:val="Footer Char"/>
    <w:basedOn w:val="DefaultParagraphFont"/>
    <w:link w:val="Footer"/>
    <w:uiPriority w:val="99"/>
    <w:rsid w:val="00C8635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83A1B"/>
    <w:rPr>
      <w:rFonts w:ascii="Times New Roman" w:eastAsia="Times New Roman" w:hAnsi="Times New Roman" w:cs="Times New Roman"/>
      <w:b/>
      <w:bCs/>
      <w:sz w:val="28"/>
      <w:szCs w:val="24"/>
    </w:rPr>
  </w:style>
  <w:style w:type="character" w:styleId="Hyperlink">
    <w:name w:val="Hyperlink"/>
    <w:rsid w:val="00983A1B"/>
    <w:rPr>
      <w:color w:val="0000FF"/>
      <w:u w:val="single"/>
    </w:rPr>
  </w:style>
  <w:style w:type="table" w:styleId="TableGrid">
    <w:name w:val="Table Grid"/>
    <w:basedOn w:val="TableNormal"/>
    <w:uiPriority w:val="59"/>
    <w:rsid w:val="00A24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5B1A"/>
    <w:pPr>
      <w:spacing w:before="100" w:beforeAutospacing="1" w:after="100" w:afterAutospacing="1"/>
    </w:pPr>
    <w:rPr>
      <w:rFonts w:eastAsiaTheme="minorHAnsi"/>
      <w:lang w:eastAsia="en-GB"/>
    </w:rPr>
  </w:style>
  <w:style w:type="paragraph" w:styleId="BalloonText">
    <w:name w:val="Balloon Text"/>
    <w:basedOn w:val="Normal"/>
    <w:link w:val="BalloonTextChar"/>
    <w:uiPriority w:val="99"/>
    <w:semiHidden/>
    <w:unhideWhenUsed/>
    <w:rsid w:val="00A66287"/>
    <w:rPr>
      <w:rFonts w:ascii="Tahoma" w:hAnsi="Tahoma" w:cs="Tahoma"/>
      <w:sz w:val="16"/>
      <w:szCs w:val="16"/>
    </w:rPr>
  </w:style>
  <w:style w:type="character" w:customStyle="1" w:styleId="BalloonTextChar">
    <w:name w:val="Balloon Text Char"/>
    <w:basedOn w:val="DefaultParagraphFont"/>
    <w:link w:val="BalloonText"/>
    <w:uiPriority w:val="99"/>
    <w:semiHidden/>
    <w:rsid w:val="00A6628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301AF"/>
    <w:rPr>
      <w:sz w:val="20"/>
      <w:szCs w:val="20"/>
    </w:rPr>
  </w:style>
  <w:style w:type="character" w:customStyle="1" w:styleId="FootnoteTextChar">
    <w:name w:val="Footnote Text Char"/>
    <w:basedOn w:val="DefaultParagraphFont"/>
    <w:link w:val="FootnoteText"/>
    <w:uiPriority w:val="99"/>
    <w:semiHidden/>
    <w:rsid w:val="009301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1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53"/>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A1B"/>
    <w:pPr>
      <w:keepNext/>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86353"/>
    <w:pPr>
      <w:jc w:val="both"/>
    </w:pPr>
  </w:style>
  <w:style w:type="character" w:customStyle="1" w:styleId="BodyText3Char">
    <w:name w:val="Body Text 3 Char"/>
    <w:basedOn w:val="DefaultParagraphFont"/>
    <w:link w:val="BodyText3"/>
    <w:rsid w:val="00C863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353"/>
    <w:pPr>
      <w:tabs>
        <w:tab w:val="center" w:pos="4513"/>
        <w:tab w:val="right" w:pos="9026"/>
      </w:tabs>
    </w:pPr>
  </w:style>
  <w:style w:type="character" w:customStyle="1" w:styleId="HeaderChar">
    <w:name w:val="Header Char"/>
    <w:basedOn w:val="DefaultParagraphFont"/>
    <w:link w:val="Header"/>
    <w:uiPriority w:val="99"/>
    <w:rsid w:val="00C863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353"/>
    <w:pPr>
      <w:tabs>
        <w:tab w:val="center" w:pos="4513"/>
        <w:tab w:val="right" w:pos="9026"/>
      </w:tabs>
    </w:pPr>
  </w:style>
  <w:style w:type="character" w:customStyle="1" w:styleId="FooterChar">
    <w:name w:val="Footer Char"/>
    <w:basedOn w:val="DefaultParagraphFont"/>
    <w:link w:val="Footer"/>
    <w:uiPriority w:val="99"/>
    <w:rsid w:val="00C8635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83A1B"/>
    <w:rPr>
      <w:rFonts w:ascii="Times New Roman" w:eastAsia="Times New Roman" w:hAnsi="Times New Roman" w:cs="Times New Roman"/>
      <w:b/>
      <w:bCs/>
      <w:sz w:val="28"/>
      <w:szCs w:val="24"/>
    </w:rPr>
  </w:style>
  <w:style w:type="character" w:styleId="Hyperlink">
    <w:name w:val="Hyperlink"/>
    <w:rsid w:val="00983A1B"/>
    <w:rPr>
      <w:color w:val="0000FF"/>
      <w:u w:val="single"/>
    </w:rPr>
  </w:style>
  <w:style w:type="table" w:styleId="TableGrid">
    <w:name w:val="Table Grid"/>
    <w:basedOn w:val="TableNormal"/>
    <w:uiPriority w:val="59"/>
    <w:rsid w:val="00A24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5B1A"/>
    <w:pPr>
      <w:spacing w:before="100" w:beforeAutospacing="1" w:after="100" w:afterAutospacing="1"/>
    </w:pPr>
    <w:rPr>
      <w:rFonts w:eastAsiaTheme="minorHAnsi"/>
      <w:lang w:eastAsia="en-GB"/>
    </w:rPr>
  </w:style>
  <w:style w:type="paragraph" w:styleId="BalloonText">
    <w:name w:val="Balloon Text"/>
    <w:basedOn w:val="Normal"/>
    <w:link w:val="BalloonTextChar"/>
    <w:uiPriority w:val="99"/>
    <w:semiHidden/>
    <w:unhideWhenUsed/>
    <w:rsid w:val="00A66287"/>
    <w:rPr>
      <w:rFonts w:ascii="Tahoma" w:hAnsi="Tahoma" w:cs="Tahoma"/>
      <w:sz w:val="16"/>
      <w:szCs w:val="16"/>
    </w:rPr>
  </w:style>
  <w:style w:type="character" w:customStyle="1" w:styleId="BalloonTextChar">
    <w:name w:val="Balloon Text Char"/>
    <w:basedOn w:val="DefaultParagraphFont"/>
    <w:link w:val="BalloonText"/>
    <w:uiPriority w:val="99"/>
    <w:semiHidden/>
    <w:rsid w:val="00A6628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301AF"/>
    <w:rPr>
      <w:sz w:val="20"/>
      <w:szCs w:val="20"/>
    </w:rPr>
  </w:style>
  <w:style w:type="character" w:customStyle="1" w:styleId="FootnoteTextChar">
    <w:name w:val="Footnote Text Char"/>
    <w:basedOn w:val="DefaultParagraphFont"/>
    <w:link w:val="FootnoteText"/>
    <w:uiPriority w:val="99"/>
    <w:semiHidden/>
    <w:rsid w:val="009301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1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4514">
      <w:bodyDiv w:val="1"/>
      <w:marLeft w:val="0"/>
      <w:marRight w:val="0"/>
      <w:marTop w:val="0"/>
      <w:marBottom w:val="0"/>
      <w:divBdr>
        <w:top w:val="none" w:sz="0" w:space="0" w:color="auto"/>
        <w:left w:val="none" w:sz="0" w:space="0" w:color="auto"/>
        <w:bottom w:val="none" w:sz="0" w:space="0" w:color="auto"/>
        <w:right w:val="none" w:sz="0" w:space="0" w:color="auto"/>
      </w:divBdr>
    </w:div>
    <w:div w:id="467743159">
      <w:bodyDiv w:val="1"/>
      <w:marLeft w:val="0"/>
      <w:marRight w:val="0"/>
      <w:marTop w:val="0"/>
      <w:marBottom w:val="0"/>
      <w:divBdr>
        <w:top w:val="none" w:sz="0" w:space="0" w:color="auto"/>
        <w:left w:val="none" w:sz="0" w:space="0" w:color="auto"/>
        <w:bottom w:val="none" w:sz="0" w:space="0" w:color="auto"/>
        <w:right w:val="none" w:sz="0" w:space="0" w:color="auto"/>
      </w:divBdr>
    </w:div>
    <w:div w:id="1506049143">
      <w:bodyDiv w:val="1"/>
      <w:marLeft w:val="0"/>
      <w:marRight w:val="0"/>
      <w:marTop w:val="0"/>
      <w:marBottom w:val="0"/>
      <w:divBdr>
        <w:top w:val="none" w:sz="0" w:space="0" w:color="auto"/>
        <w:left w:val="none" w:sz="0" w:space="0" w:color="auto"/>
        <w:bottom w:val="none" w:sz="0" w:space="0" w:color="auto"/>
        <w:right w:val="none" w:sz="0" w:space="0" w:color="auto"/>
      </w:divBdr>
    </w:div>
    <w:div w:id="15345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p.branch@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62F95-668F-407B-8A60-FEC536B6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TotalTime>
  <Pages>19</Pages>
  <Words>8169</Words>
  <Characters>46569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54629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Phillip Branch</dc:creator>
  <cp:lastModifiedBy>Nicholas Phillip Branch</cp:lastModifiedBy>
  <cp:revision>109</cp:revision>
  <cp:lastPrinted>2015-03-04T09:40:00Z</cp:lastPrinted>
  <dcterms:created xsi:type="dcterms:W3CDTF">2015-02-28T13:45:00Z</dcterms:created>
  <dcterms:modified xsi:type="dcterms:W3CDTF">2015-03-10T12:48:00Z</dcterms:modified>
</cp:coreProperties>
</file>