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CC" w:rsidRPr="00C252CC" w:rsidRDefault="00C252CC" w:rsidP="00C252CC">
      <w:pPr>
        <w:rPr>
          <w:rFonts w:ascii="Times New Roman" w:hAnsi="Times New Roman" w:cs="Times New Roman"/>
          <w:sz w:val="22"/>
          <w:szCs w:val="30"/>
          <w:lang w:val="en-GB"/>
        </w:rPr>
      </w:pPr>
      <w:r w:rsidRPr="00C252CC">
        <w:rPr>
          <w:rFonts w:ascii="Times New Roman" w:hAnsi="Times New Roman" w:cs="Times New Roman"/>
          <w:sz w:val="22"/>
          <w:szCs w:val="30"/>
          <w:lang w:val="en-GB"/>
        </w:rPr>
        <w:t xml:space="preserve">Mara </w:t>
      </w:r>
      <w:proofErr w:type="spellStart"/>
      <w:r w:rsidRPr="00C252CC">
        <w:rPr>
          <w:rFonts w:ascii="Times New Roman" w:hAnsi="Times New Roman" w:cs="Times New Roman"/>
          <w:bCs/>
          <w:sz w:val="22"/>
          <w:szCs w:val="30"/>
          <w:lang w:val="en-GB"/>
        </w:rPr>
        <w:t>Migliavacca</w:t>
      </w:r>
      <w:proofErr w:type="spellEnd"/>
      <w:r w:rsidRPr="00C252CC">
        <w:rPr>
          <w:rFonts w:ascii="Times New Roman" w:hAnsi="Times New Roman" w:cs="Times New Roman"/>
          <w:sz w:val="22"/>
          <w:szCs w:val="30"/>
          <w:lang w:val="en-GB"/>
        </w:rPr>
        <w:t xml:space="preserve">, </w:t>
      </w:r>
      <w:proofErr w:type="spellStart"/>
      <w:r w:rsidRPr="00C252CC">
        <w:rPr>
          <w:rFonts w:ascii="Times New Roman" w:hAnsi="Times New Roman" w:cs="Times New Roman"/>
          <w:sz w:val="22"/>
          <w:szCs w:val="30"/>
          <w:lang w:val="en-GB"/>
        </w:rPr>
        <w:t>Chiara</w:t>
      </w:r>
      <w:proofErr w:type="spellEnd"/>
      <w:r w:rsidRPr="00C252CC">
        <w:rPr>
          <w:rFonts w:ascii="Times New Roman" w:hAnsi="Times New Roman" w:cs="Times New Roman"/>
          <w:sz w:val="22"/>
          <w:szCs w:val="30"/>
          <w:lang w:val="en-GB"/>
        </w:rPr>
        <w:t xml:space="preserve"> </w:t>
      </w:r>
      <w:proofErr w:type="spellStart"/>
      <w:r w:rsidRPr="00C252CC">
        <w:rPr>
          <w:rFonts w:ascii="Times New Roman" w:hAnsi="Times New Roman" w:cs="Times New Roman"/>
          <w:bCs/>
          <w:sz w:val="22"/>
          <w:szCs w:val="30"/>
          <w:lang w:val="en-GB"/>
        </w:rPr>
        <w:t>Boscarol</w:t>
      </w:r>
      <w:proofErr w:type="spellEnd"/>
      <w:r w:rsidRPr="00C252CC">
        <w:rPr>
          <w:rFonts w:ascii="Times New Roman" w:hAnsi="Times New Roman" w:cs="Times New Roman"/>
          <w:sz w:val="22"/>
          <w:szCs w:val="30"/>
          <w:lang w:val="en-GB"/>
        </w:rPr>
        <w:t xml:space="preserve">, Manuela </w:t>
      </w:r>
      <w:proofErr w:type="spellStart"/>
      <w:r w:rsidRPr="00C252CC">
        <w:rPr>
          <w:rFonts w:ascii="Times New Roman" w:hAnsi="Times New Roman" w:cs="Times New Roman"/>
          <w:bCs/>
          <w:sz w:val="22"/>
          <w:szCs w:val="30"/>
          <w:lang w:val="en-GB"/>
        </w:rPr>
        <w:t>Montagnari</w:t>
      </w:r>
      <w:proofErr w:type="spellEnd"/>
      <w:r w:rsidRPr="00C252CC">
        <w:rPr>
          <w:rFonts w:ascii="Times New Roman" w:hAnsi="Times New Roman" w:cs="Times New Roman"/>
          <w:bCs/>
          <w:sz w:val="22"/>
          <w:szCs w:val="30"/>
          <w:lang w:val="en-GB"/>
        </w:rPr>
        <w:t xml:space="preserve"> </w:t>
      </w:r>
      <w:proofErr w:type="spellStart"/>
      <w:r w:rsidRPr="00C252CC">
        <w:rPr>
          <w:rFonts w:ascii="Times New Roman" w:hAnsi="Times New Roman" w:cs="Times New Roman"/>
          <w:bCs/>
          <w:sz w:val="22"/>
          <w:szCs w:val="30"/>
          <w:lang w:val="en-GB"/>
        </w:rPr>
        <w:t>Kokelj</w:t>
      </w:r>
      <w:proofErr w:type="spellEnd"/>
      <w:r w:rsidRPr="00C252CC">
        <w:rPr>
          <w:rFonts w:ascii="Times New Roman" w:hAnsi="Times New Roman" w:cs="Times New Roman"/>
          <w:sz w:val="22"/>
          <w:szCs w:val="30"/>
          <w:lang w:val="en-GB"/>
        </w:rPr>
        <w:t xml:space="preserve"> </w:t>
      </w:r>
    </w:p>
    <w:p w:rsidR="00C252CC" w:rsidRPr="00C252CC" w:rsidRDefault="00C252CC" w:rsidP="00C252CC">
      <w:pPr>
        <w:rPr>
          <w:rFonts w:ascii="Times New Roman" w:hAnsi="Times New Roman" w:cs="Arial"/>
          <w:b/>
          <w:sz w:val="22"/>
          <w:szCs w:val="22"/>
          <w:lang w:val="en-GB"/>
        </w:rPr>
      </w:pPr>
      <w:r w:rsidRPr="00C252CC">
        <w:rPr>
          <w:rFonts w:ascii="Times New Roman" w:hAnsi="Times New Roman" w:cs="Times New Roman"/>
          <w:b/>
          <w:iCs/>
          <w:sz w:val="22"/>
          <w:szCs w:val="30"/>
          <w:lang w:val="en-GB"/>
        </w:rPr>
        <w:t xml:space="preserve">How to identify </w:t>
      </w:r>
      <w:proofErr w:type="spellStart"/>
      <w:r w:rsidRPr="00C252CC">
        <w:rPr>
          <w:rFonts w:ascii="Times New Roman" w:hAnsi="Times New Roman" w:cs="Times New Roman"/>
          <w:b/>
          <w:iCs/>
          <w:sz w:val="22"/>
          <w:szCs w:val="30"/>
          <w:lang w:val="en-GB"/>
        </w:rPr>
        <w:t>pastoralism</w:t>
      </w:r>
      <w:proofErr w:type="spellEnd"/>
      <w:r w:rsidRPr="00C252CC">
        <w:rPr>
          <w:rFonts w:ascii="Times New Roman" w:hAnsi="Times New Roman" w:cs="Times New Roman"/>
          <w:b/>
          <w:iCs/>
          <w:sz w:val="22"/>
          <w:szCs w:val="30"/>
          <w:lang w:val="en-GB"/>
        </w:rPr>
        <w:t xml:space="preserve"> in Prehistory? Some hints from recent studies in Veneto and Friuli </w:t>
      </w:r>
      <w:proofErr w:type="spellStart"/>
      <w:r w:rsidRPr="00C252CC">
        <w:rPr>
          <w:rFonts w:ascii="Times New Roman" w:hAnsi="Times New Roman" w:cs="Times New Roman"/>
          <w:b/>
          <w:iCs/>
          <w:sz w:val="22"/>
          <w:szCs w:val="30"/>
          <w:lang w:val="en-GB"/>
        </w:rPr>
        <w:t>Venezia</w:t>
      </w:r>
      <w:proofErr w:type="spellEnd"/>
      <w:r w:rsidRPr="00C252CC">
        <w:rPr>
          <w:rFonts w:ascii="Times New Roman" w:hAnsi="Times New Roman" w:cs="Times New Roman"/>
          <w:b/>
          <w:iCs/>
          <w:sz w:val="22"/>
          <w:szCs w:val="30"/>
          <w:lang w:val="en-GB"/>
        </w:rPr>
        <w:t xml:space="preserve"> Giulia</w:t>
      </w:r>
    </w:p>
    <w:p w:rsidR="00155EFC" w:rsidRPr="00C252CC" w:rsidRDefault="00155EFC" w:rsidP="00155EFC">
      <w:pPr>
        <w:spacing w:after="0"/>
        <w:rPr>
          <w:rFonts w:ascii="Times New Roman" w:hAnsi="Times New Roman"/>
          <w:sz w:val="22"/>
        </w:rPr>
      </w:pPr>
      <w:bookmarkStart w:id="0" w:name="_GoBack"/>
    </w:p>
    <w:p w:rsidR="00CD0CBF" w:rsidRPr="00C252CC" w:rsidRDefault="00C252CC" w:rsidP="00CD0CBF">
      <w:pPr>
        <w:rPr>
          <w:rFonts w:ascii="Times New Roman" w:hAnsi="Times New Roman"/>
          <w:sz w:val="22"/>
          <w:lang w:val="en-US"/>
        </w:rPr>
      </w:pPr>
      <w:proofErr w:type="spellStart"/>
      <w:r w:rsidRPr="00C252CC">
        <w:rPr>
          <w:rFonts w:ascii="Times New Roman" w:hAnsi="Times New Roman"/>
          <w:sz w:val="22"/>
          <w:lang w:val="en-US"/>
        </w:rPr>
        <w:t>Didascalie</w:t>
      </w:r>
      <w:proofErr w:type="spellEnd"/>
      <w:r w:rsidRPr="00C252CC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Pr="00C252CC">
        <w:rPr>
          <w:rFonts w:ascii="Times New Roman" w:hAnsi="Times New Roman"/>
          <w:sz w:val="22"/>
          <w:lang w:val="en-US"/>
        </w:rPr>
        <w:t>italiano</w:t>
      </w:r>
      <w:proofErr w:type="spellEnd"/>
    </w:p>
    <w:bookmarkEnd w:id="0"/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L’area di studio nel Veneto, con indicati gli Alti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(1) e l’Altopiano di Asiago (2).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2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Progetto Alto Medio Polesine - Bassa Veronese: Gli spostamenti attuali dei pastori sedentari che vivono a Torretta di Legnago</w:t>
      </w:r>
      <w:r w:rsidR="00C252CC"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(CTR 1:10.000; </w:t>
      </w:r>
      <w:proofErr w:type="spellStart"/>
      <w:r w:rsidR="00C252CC"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from</w:t>
      </w:r>
      <w:proofErr w:type="spellEnd"/>
      <w:r w:rsidR="00C252CC"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="00C252CC"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Migliavacca</w:t>
      </w:r>
      <w:proofErr w:type="spellEnd"/>
      <w:r w:rsidR="00C252CC"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1991, fig.7).</w:t>
      </w: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3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I resti di un riparo di pastori 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Costeggioli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, negli Alti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(foto Mara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).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4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capanna per pastori presso Malga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Bagorno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, negli Alti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(Foto Ugo Sauro).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5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L’applicazione ai castellieri dell’età del Ferro dell’analisi dei costi di spostamento basata sia sul fattore distanza sia sul fattore pendenza e dei poligoni di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Thiessen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evidenzia il controllo sulle alte quote esercitato dai due insediamenti di Monte Loffa e Monte Purga (Alti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; da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2013, fig.12).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36103D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6</w:t>
      </w:r>
      <w:proofErr w:type="gram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</w:t>
      </w:r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Ex Malga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Croiere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(Altopiano d’Asiago): mappa dei campioni prelevati con alto contenuto in fosforo organico (in rosso) ed inorganico (in blu) (disegno di G. de Angeli, da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, Nicosia 2011).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36103D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7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L’area di studio nella parte nordo-rientale del Friuli Venezia Giulia.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36103D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8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I livelli a </w:t>
      </w:r>
      <w:proofErr w:type="spellStart"/>
      <w:r w:rsidRPr="00C252CC">
        <w:rPr>
          <w:rFonts w:ascii="Times New Roman" w:eastAsiaTheme="minorEastAsia" w:hAnsi="Times New Roman" w:cs="Times New Roman"/>
          <w:i/>
          <w:iCs/>
          <w:color w:val="36103D"/>
          <w:sz w:val="22"/>
          <w:szCs w:val="30"/>
          <w:lang w:eastAsia="it-IT"/>
        </w:rPr>
        <w:t>fumier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dei depositi della grotte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Cotariova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(foto) e Azzurra, nel Carso triestino.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36103D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9</w:t>
      </w:r>
      <w:proofErr w:type="gram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Metodo tradizionale di stabulazione delle greggi sull’altipiano carsico.</w:t>
      </w:r>
    </w:p>
    <w:p w:rsidR="009A218E" w:rsidRPr="00C252CC" w:rsidRDefault="009A218E" w:rsidP="009A218E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10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 Capre che si auto-approvvigionano di sale marino durante gli spostamenti</w:t>
      </w:r>
    </w:p>
    <w:p w:rsidR="00C252CC" w:rsidRPr="00C252CC" w:rsidRDefault="009A218E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11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Ricostruzione ipotetica della viabilità protostorica messa a confronto con i siti di ritrovamento dei materiali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Wieselburg-Gata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nella parte nord-orientale del Friuli Venezia Giulia.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12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 SDS-PAGE 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western-blot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analisi effettuate su uno dei cucchiai ceramici rinvenuti in alcune grotte del Carso.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</w:p>
    <w:p w:rsidR="00C252CC" w:rsidRPr="00C252CC" w:rsidRDefault="00C252CC" w:rsidP="009A218E">
      <w:pPr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Didascalie inglese</w:t>
      </w:r>
      <w:proofErr w:type="gramEnd"/>
    </w:p>
    <w:p w:rsidR="00497618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area under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study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in Veneto,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with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indication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highlands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(1) and the Asiago plateau (2). 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2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Alto Medio Polesine - Bassa Veronese Project: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map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showing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present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movements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sedentary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shepherds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living at Torretta di Legnago (CTR 1:10.000;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from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1991, fig.7). </w:t>
      </w:r>
    </w:p>
    <w:p w:rsidR="00497618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3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remains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s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shepherd’s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shelter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at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Costeggioli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, in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highlands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Photo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Mara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). 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4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little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house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used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by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shepherd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at Malga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Bagorno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, in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highlands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Photo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Ugo Sauro). </w:t>
      </w:r>
    </w:p>
    <w:p w:rsidR="00497618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5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Cost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analysis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based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both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on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distance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and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slope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  and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Thiessen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polygons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analysis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applied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to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Iron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age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castellieri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shows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control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on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highlands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two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settlements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Monte Loffa and Monte Purga (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Lessini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highlands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;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from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2013, fig.12). 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36103D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6</w:t>
      </w:r>
      <w:proofErr w:type="gram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abandoned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Malga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Croiere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(Asiago plateau):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map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showing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soil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samples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with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high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organic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(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red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symbols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) and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inorganic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(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blue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symbols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)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Phosphorous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content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(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drawing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G. De Angeli,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From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Migliavacca</w:t>
      </w:r>
      <w:proofErr w:type="spellEnd"/>
      <w:r w:rsidRPr="00C252CC">
        <w:rPr>
          <w:rFonts w:ascii="Times New Roman" w:eastAsiaTheme="minorEastAsia" w:hAnsi="Times New Roman" w:cs="Times New Roman"/>
          <w:sz w:val="22"/>
          <w:szCs w:val="30"/>
          <w:lang w:eastAsia="it-IT"/>
        </w:rPr>
        <w:t>, Nicosia 2011).  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7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area under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study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in NE Friuli Venezia Giulia.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8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i/>
          <w:iCs/>
          <w:color w:val="1A1A1A"/>
          <w:sz w:val="22"/>
          <w:szCs w:val="30"/>
          <w:lang w:eastAsia="it-IT"/>
        </w:rPr>
        <w:t>Fumier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layers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in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Cotariova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(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photo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) and Azzurra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caves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, in the Trieste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Karst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.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36103D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9</w:t>
      </w:r>
      <w:proofErr w:type="gram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Traditional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way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stabling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herds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in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to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caves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 the </w:t>
      </w:r>
      <w:proofErr w:type="spellStart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>Karst</w:t>
      </w:r>
      <w:proofErr w:type="spellEnd"/>
      <w:r w:rsidRPr="00C252CC">
        <w:rPr>
          <w:rFonts w:ascii="Times New Roman" w:eastAsiaTheme="minorEastAsia" w:hAnsi="Times New Roman" w:cs="Times New Roman"/>
          <w:color w:val="36103D"/>
          <w:sz w:val="22"/>
          <w:szCs w:val="30"/>
          <w:lang w:eastAsia="it-IT"/>
        </w:rPr>
        <w:t xml:space="preserve"> plateau.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10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Goats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find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sea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salt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on the way. 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11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hypothetical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reconstruction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protohistoric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viability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compared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with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distribution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Wiselburg-Gata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materials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in the NE part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Friuli Venezia Giulia. </w:t>
      </w:r>
    </w:p>
    <w:p w:rsidR="00C252CC" w:rsidRPr="00C252CC" w:rsidRDefault="00C252CC" w:rsidP="00C252CC">
      <w:pPr>
        <w:widowControl w:val="0"/>
        <w:autoSpaceDE w:val="0"/>
        <w:autoSpaceDN w:val="0"/>
        <w:adjustRightInd w:val="0"/>
        <w:spacing w:after="0"/>
        <w:rPr>
          <w:rFonts w:ascii="Arial" w:eastAsiaTheme="minorEastAsia" w:hAnsi="Arial" w:cs="Arial"/>
          <w:color w:val="1A1A1A"/>
          <w:sz w:val="22"/>
          <w:szCs w:val="26"/>
          <w:lang w:eastAsia="it-IT"/>
        </w:rPr>
      </w:pPr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Fig.</w:t>
      </w:r>
      <w:proofErr w:type="gram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12</w:t>
      </w:r>
      <w:proofErr w:type="gram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SDS-PAGE and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western-bloat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analysis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on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one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of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the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clay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spoons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found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in some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Karst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 xml:space="preserve"> </w:t>
      </w:r>
      <w:proofErr w:type="spellStart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caves</w:t>
      </w:r>
      <w:proofErr w:type="spellEnd"/>
      <w:r w:rsidRPr="00C252CC">
        <w:rPr>
          <w:rFonts w:ascii="Times New Roman" w:eastAsiaTheme="minorEastAsia" w:hAnsi="Times New Roman" w:cs="Times New Roman"/>
          <w:color w:val="1A1A1A"/>
          <w:sz w:val="22"/>
          <w:szCs w:val="30"/>
          <w:lang w:eastAsia="it-IT"/>
        </w:rPr>
        <w:t>.</w:t>
      </w:r>
    </w:p>
    <w:p w:rsidR="00CA0293" w:rsidRPr="00C252CC" w:rsidRDefault="00CA0293" w:rsidP="00C252CC">
      <w:pPr>
        <w:rPr>
          <w:rFonts w:ascii="Times New Roman" w:hAnsi="Times New Roman"/>
          <w:sz w:val="22"/>
        </w:rPr>
      </w:pPr>
    </w:p>
    <w:sectPr w:rsidR="00CA0293" w:rsidRPr="00C252CC" w:rsidSect="002E0B4C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7630B"/>
    <w:multiLevelType w:val="hybridMultilevel"/>
    <w:tmpl w:val="D02E15AA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savePreviewPicture/>
  <w:compat>
    <w:useFELayout/>
  </w:compat>
  <w:rsids>
    <w:rsidRoot w:val="000B37F7"/>
    <w:rsid w:val="00030CBA"/>
    <w:rsid w:val="0007411A"/>
    <w:rsid w:val="000B37F7"/>
    <w:rsid w:val="00121CF0"/>
    <w:rsid w:val="00155EFC"/>
    <w:rsid w:val="002E0B4C"/>
    <w:rsid w:val="00497618"/>
    <w:rsid w:val="00541EFA"/>
    <w:rsid w:val="005E41A4"/>
    <w:rsid w:val="00693501"/>
    <w:rsid w:val="009A218E"/>
    <w:rsid w:val="00C252CC"/>
    <w:rsid w:val="00CA0293"/>
    <w:rsid w:val="00CD0CBF"/>
    <w:rsid w:val="00D62D3D"/>
    <w:rsid w:val="00E665B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7F7"/>
    <w:pPr>
      <w:spacing w:after="200"/>
    </w:pPr>
    <w:rPr>
      <w:rFonts w:eastAsiaTheme="minorHAnsi"/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0B3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7F7"/>
    <w:pPr>
      <w:spacing w:after="200"/>
    </w:pPr>
    <w:rPr>
      <w:rFonts w:eastAsiaTheme="minorHAnsi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3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507</Words>
  <Characters>2738</Characters>
  <Application>Microsoft Macintosh Word</Application>
  <DocSecurity>0</DocSecurity>
  <Lines>42</Lines>
  <Paragraphs>5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divulgando</dc:creator>
  <cp:keywords/>
  <dc:description/>
  <cp:lastModifiedBy>Franco Cucchi</cp:lastModifiedBy>
  <cp:revision>7</cp:revision>
  <dcterms:created xsi:type="dcterms:W3CDTF">2015-01-30T12:37:00Z</dcterms:created>
  <dcterms:modified xsi:type="dcterms:W3CDTF">2015-01-31T18:59:00Z</dcterms:modified>
</cp:coreProperties>
</file>