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41" w:rsidRDefault="00373995" w:rsidP="00373995">
      <w:pPr>
        <w:jc w:val="both"/>
      </w:pPr>
      <w:r w:rsidRPr="00373995">
        <w:t>Alessandro Rossi, Erasmus Mundus Ph.D. in Cultural Studies in Literary Interzones, Dipartimento di Lettere, arti e multimedialità, Università degli Studi di B</w:t>
      </w:r>
      <w:r>
        <w:t>ergamo, via Donizetti, 3, 24129</w:t>
      </w:r>
      <w:r w:rsidRPr="00373995">
        <w:t xml:space="preserve"> Bergamo; Université de Perpignan-Via Domitia, Faculté des Lettres et Sciences Humaines, 52 avenue Paul Alduy, 66860, Perpignan Cedex 9 (France), e-mail: alessandro.rossi@unibg.it</w:t>
      </w:r>
    </w:p>
    <w:sectPr w:rsidR="00BA0D41" w:rsidSect="00BA0D41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3995"/>
    <w:rsid w:val="0037399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325BA7"/>
    <w:rPr>
      <w:lang w:val="en-GB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2015-01-15T08:34:00Z</dcterms:created>
  <dcterms:modified xsi:type="dcterms:W3CDTF">2015-01-15T08:35:00Z</dcterms:modified>
</cp:coreProperties>
</file>